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3C" w:rsidRDefault="0033363C" w:rsidP="00444101">
      <w:pPr>
        <w:spacing w:after="0"/>
        <w:jc w:val="center"/>
      </w:pPr>
      <w:r>
        <w:t>Evaluation Concept Note</w:t>
      </w:r>
    </w:p>
    <w:p w:rsidR="0033363C" w:rsidRDefault="0033363C" w:rsidP="00444101">
      <w:pPr>
        <w:spacing w:after="0"/>
        <w:jc w:val="center"/>
      </w:pPr>
      <w:r>
        <w:t>Adolescent Girls Initiative- Rwanda</w:t>
      </w:r>
    </w:p>
    <w:p w:rsidR="005E2C94" w:rsidRDefault="005E2C94" w:rsidP="00444101">
      <w:pPr>
        <w:spacing w:after="0"/>
        <w:jc w:val="center"/>
      </w:pPr>
      <w:r>
        <w:t xml:space="preserve">FINAL </w:t>
      </w:r>
    </w:p>
    <w:p w:rsidR="0033363C" w:rsidRDefault="0033363C" w:rsidP="00C54279">
      <w:pPr>
        <w:spacing w:after="0"/>
      </w:pPr>
    </w:p>
    <w:p w:rsidR="00C54279" w:rsidRPr="00490709" w:rsidRDefault="00C54279" w:rsidP="00C54279">
      <w:pPr>
        <w:spacing w:after="0"/>
        <w:rPr>
          <w:rFonts w:cstheme="minorHAnsi"/>
          <w:b/>
        </w:rPr>
      </w:pPr>
      <w:r w:rsidRPr="00490709">
        <w:rPr>
          <w:rFonts w:cstheme="minorHAnsi"/>
          <w:b/>
        </w:rPr>
        <w:t>Background</w:t>
      </w:r>
    </w:p>
    <w:p w:rsidR="00C54279" w:rsidRPr="006B6490" w:rsidRDefault="00C54279" w:rsidP="00C54279">
      <w:pPr>
        <w:autoSpaceDE w:val="0"/>
        <w:autoSpaceDN w:val="0"/>
        <w:adjustRightInd w:val="0"/>
        <w:jc w:val="both"/>
        <w:rPr>
          <w:rFonts w:cstheme="minorHAnsi"/>
        </w:rPr>
      </w:pPr>
      <w:r w:rsidRPr="006B6490">
        <w:rPr>
          <w:rFonts w:cstheme="minorHAnsi"/>
        </w:rPr>
        <w:t xml:space="preserve">The Promoting Economic Empowerment of Adolescent Women and Young Girls project in Rwanda is part of a Bank-led Adolescent Girls Initiative (AGI) to promote the economic empowerment of adolescent girls and young women in eight low-income and post-conflict countries (Afghanistan, Haiti, Jordan, Lao PDR, Liberia, Nepal, Rwanda, and South Sudan). All the projects in the AGI offer </w:t>
      </w:r>
      <w:r w:rsidR="00E90EBE">
        <w:rPr>
          <w:rFonts w:cstheme="minorHAnsi"/>
        </w:rPr>
        <w:t xml:space="preserve">skills </w:t>
      </w:r>
      <w:r w:rsidRPr="006B6490">
        <w:rPr>
          <w:rFonts w:cstheme="minorHAnsi"/>
        </w:rPr>
        <w:t xml:space="preserve">training and </w:t>
      </w:r>
      <w:r w:rsidR="00E90EBE">
        <w:rPr>
          <w:rFonts w:cstheme="minorHAnsi"/>
        </w:rPr>
        <w:t>complementary services</w:t>
      </w:r>
      <w:r w:rsidRPr="006B6490">
        <w:rPr>
          <w:rFonts w:cstheme="minorHAnsi"/>
        </w:rPr>
        <w:t xml:space="preserve"> to facilitate young women’s transition to </w:t>
      </w:r>
      <w:r w:rsidR="00E90EBE">
        <w:rPr>
          <w:rFonts w:cstheme="minorHAnsi"/>
        </w:rPr>
        <w:t xml:space="preserve">productive </w:t>
      </w:r>
      <w:r w:rsidRPr="006B6490">
        <w:rPr>
          <w:rFonts w:cstheme="minorHAnsi"/>
        </w:rPr>
        <w:t>wor</w:t>
      </w:r>
      <w:r w:rsidR="00E90EBE">
        <w:rPr>
          <w:rFonts w:cstheme="minorHAnsi"/>
        </w:rPr>
        <w:t>k</w:t>
      </w:r>
      <w:r w:rsidRPr="006B6490">
        <w:rPr>
          <w:rFonts w:cstheme="minorHAnsi"/>
        </w:rPr>
        <w:t xml:space="preserve">. These programs are seen as pilots in which to experiment with innovative approaches, measure the results, and provide quantitative evidence for possible scaling-up of similar interventions in the future. </w:t>
      </w:r>
    </w:p>
    <w:p w:rsidR="00C54279" w:rsidRDefault="00C54279" w:rsidP="00C54279">
      <w:pPr>
        <w:autoSpaceDE w:val="0"/>
        <w:autoSpaceDN w:val="0"/>
        <w:adjustRightInd w:val="0"/>
        <w:spacing w:after="0"/>
        <w:jc w:val="both"/>
        <w:rPr>
          <w:rFonts w:cstheme="minorHAnsi"/>
        </w:rPr>
      </w:pPr>
      <w:r w:rsidRPr="006B6490">
        <w:rPr>
          <w:rFonts w:cstheme="minorHAnsi"/>
        </w:rPr>
        <w:t xml:space="preserve">Because the evidence on what works in facilitating the transition of adolescent girls and young women to productive work is limited, impact evaluations are an essential part of this initiative. </w:t>
      </w:r>
      <w:r>
        <w:rPr>
          <w:rFonts w:cstheme="minorHAnsi"/>
        </w:rPr>
        <w:t>Seven out of eight AGIs were designed</w:t>
      </w:r>
      <w:r w:rsidR="00F83520">
        <w:rPr>
          <w:rFonts w:cstheme="minorHAnsi"/>
        </w:rPr>
        <w:t xml:space="preserve"> to</w:t>
      </w:r>
      <w:r>
        <w:rPr>
          <w:rFonts w:cstheme="minorHAnsi"/>
        </w:rPr>
        <w:t xml:space="preserve"> include a rigorous impact evaluation </w:t>
      </w:r>
      <w:r w:rsidRPr="006B6490">
        <w:rPr>
          <w:rFonts w:cstheme="minorHAnsi"/>
        </w:rPr>
        <w:t xml:space="preserve">to measure the effects of the training and life-skills programs on the socio-economic well-being of young women and their households. </w:t>
      </w:r>
      <w:r>
        <w:rPr>
          <w:rFonts w:cstheme="minorHAnsi"/>
        </w:rPr>
        <w:t>The goal of these impact evaluations was</w:t>
      </w:r>
      <w:r w:rsidR="00F83520">
        <w:rPr>
          <w:rFonts w:cstheme="minorHAnsi"/>
        </w:rPr>
        <w:t xml:space="preserve"> to develop, by </w:t>
      </w:r>
      <w:r w:rsidRPr="006B6490">
        <w:rPr>
          <w:rFonts w:cstheme="minorHAnsi"/>
        </w:rPr>
        <w:t xml:space="preserve">the end of the three year initiative, a core </w:t>
      </w:r>
      <w:r w:rsidR="00F83520">
        <w:rPr>
          <w:rFonts w:cstheme="minorHAnsi"/>
        </w:rPr>
        <w:t>evidence base on</w:t>
      </w:r>
      <w:r w:rsidRPr="006B6490">
        <w:rPr>
          <w:rFonts w:cstheme="minorHAnsi"/>
        </w:rPr>
        <w:t xml:space="preserve"> promoting the economic empowerment of young women. </w:t>
      </w:r>
    </w:p>
    <w:p w:rsidR="00C54279" w:rsidRDefault="00C54279" w:rsidP="00C54279">
      <w:pPr>
        <w:autoSpaceDE w:val="0"/>
        <w:autoSpaceDN w:val="0"/>
        <w:adjustRightInd w:val="0"/>
        <w:spacing w:after="0"/>
        <w:jc w:val="both"/>
        <w:rPr>
          <w:rFonts w:cstheme="minorHAnsi"/>
        </w:rPr>
      </w:pPr>
    </w:p>
    <w:p w:rsidR="00D24F71" w:rsidRDefault="00C54279" w:rsidP="00C54279">
      <w:pPr>
        <w:autoSpaceDE w:val="0"/>
        <w:autoSpaceDN w:val="0"/>
        <w:adjustRightInd w:val="0"/>
        <w:spacing w:after="0"/>
        <w:jc w:val="both"/>
        <w:rPr>
          <w:rFonts w:cstheme="minorHAnsi"/>
        </w:rPr>
      </w:pPr>
      <w:r>
        <w:rPr>
          <w:rFonts w:cstheme="minorHAnsi"/>
        </w:rPr>
        <w:t>As originally designed, the AGI in Rwanda included a rigorous impact evaluation component</w:t>
      </w:r>
      <w:r w:rsidR="00D24F71">
        <w:rPr>
          <w:rFonts w:cstheme="minorHAnsi"/>
        </w:rPr>
        <w:t>, as described in the official project paper</w:t>
      </w:r>
      <w:r>
        <w:rPr>
          <w:rFonts w:cstheme="minorHAnsi"/>
        </w:rPr>
        <w:t>. However, due to delays in project preparation and implementation, limited oversubscription to the first round of training, and capacity constraints to implement an impact evaluation,</w:t>
      </w:r>
      <w:r w:rsidR="00D24F71">
        <w:rPr>
          <w:rStyle w:val="FootnoteReference"/>
          <w:rFonts w:cstheme="minorHAnsi"/>
        </w:rPr>
        <w:footnoteReference w:id="1"/>
      </w:r>
      <w:r>
        <w:rPr>
          <w:rFonts w:cstheme="minorHAnsi"/>
        </w:rPr>
        <w:t xml:space="preserve"> the original impact evaluation design has been scaled back. </w:t>
      </w:r>
      <w:r w:rsidR="00D24F71">
        <w:rPr>
          <w:rFonts w:cstheme="minorHAnsi"/>
        </w:rPr>
        <w:t xml:space="preserve">The revised design will no longer focus on comparing project beneficiaries to a control group of non-beneficiaries. Instead, the evaluation will </w:t>
      </w:r>
      <w:r w:rsidR="00A24349">
        <w:rPr>
          <w:rFonts w:cstheme="minorHAnsi"/>
        </w:rPr>
        <w:t>consult</w:t>
      </w:r>
      <w:r w:rsidR="00D24F71">
        <w:rPr>
          <w:rFonts w:cstheme="minorHAnsi"/>
        </w:rPr>
        <w:t xml:space="preserve"> project beneficiaries at each stage of the project to </w:t>
      </w:r>
      <w:r w:rsidR="00A24349">
        <w:rPr>
          <w:rFonts w:cstheme="minorHAnsi"/>
        </w:rPr>
        <w:t>seek</w:t>
      </w:r>
      <w:r w:rsidR="00D24F71">
        <w:rPr>
          <w:rFonts w:cstheme="minorHAnsi"/>
        </w:rPr>
        <w:t xml:space="preserve"> their feedback on </w:t>
      </w:r>
      <w:r w:rsidR="00A24349">
        <w:rPr>
          <w:rFonts w:cstheme="minorHAnsi"/>
        </w:rPr>
        <w:t xml:space="preserve">the project, as well as track </w:t>
      </w:r>
      <w:r w:rsidR="00D24F71">
        <w:rPr>
          <w:rFonts w:cstheme="minorHAnsi"/>
        </w:rPr>
        <w:t xml:space="preserve">a limited number of quantitative outcomes for a random sample of participants. </w:t>
      </w:r>
    </w:p>
    <w:p w:rsidR="00D24F71" w:rsidRDefault="00D24F71" w:rsidP="00C54279">
      <w:pPr>
        <w:autoSpaceDE w:val="0"/>
        <w:autoSpaceDN w:val="0"/>
        <w:adjustRightInd w:val="0"/>
        <w:spacing w:after="0"/>
        <w:jc w:val="both"/>
        <w:rPr>
          <w:rFonts w:cstheme="minorHAnsi"/>
        </w:rPr>
      </w:pPr>
    </w:p>
    <w:p w:rsidR="00D24F71" w:rsidRPr="00F83520" w:rsidRDefault="00D24F71" w:rsidP="00C54279">
      <w:pPr>
        <w:autoSpaceDE w:val="0"/>
        <w:autoSpaceDN w:val="0"/>
        <w:adjustRightInd w:val="0"/>
        <w:spacing w:after="0"/>
        <w:jc w:val="both"/>
        <w:rPr>
          <w:rFonts w:cstheme="minorHAnsi"/>
          <w:b/>
        </w:rPr>
      </w:pPr>
      <w:r w:rsidRPr="00F83520">
        <w:rPr>
          <w:rFonts w:cstheme="minorHAnsi"/>
          <w:b/>
        </w:rPr>
        <w:t xml:space="preserve">Revised evaluation </w:t>
      </w:r>
      <w:r w:rsidR="00FD08AA" w:rsidRPr="00F83520">
        <w:rPr>
          <w:rFonts w:cstheme="minorHAnsi"/>
          <w:b/>
        </w:rPr>
        <w:t>design</w:t>
      </w:r>
    </w:p>
    <w:p w:rsidR="00C54279" w:rsidRDefault="00FD08AA" w:rsidP="00C54279">
      <w:pPr>
        <w:autoSpaceDE w:val="0"/>
        <w:autoSpaceDN w:val="0"/>
        <w:adjustRightInd w:val="0"/>
        <w:spacing w:after="0"/>
        <w:jc w:val="both"/>
        <w:rPr>
          <w:rFonts w:cstheme="minorHAnsi"/>
        </w:rPr>
      </w:pPr>
      <w:r>
        <w:rPr>
          <w:rFonts w:cstheme="minorHAnsi"/>
        </w:rPr>
        <w:t>The dual objectives of the evaluation of the Rwanda</w:t>
      </w:r>
      <w:r w:rsidR="00E90EBE">
        <w:rPr>
          <w:rFonts w:cstheme="minorHAnsi"/>
        </w:rPr>
        <w:t xml:space="preserve"> AGI are</w:t>
      </w:r>
      <w:r>
        <w:rPr>
          <w:rFonts w:cstheme="minorHAnsi"/>
        </w:rPr>
        <w:t xml:space="preserve"> </w:t>
      </w:r>
      <w:r w:rsidR="00A8408B">
        <w:rPr>
          <w:rFonts w:cstheme="minorHAnsi"/>
        </w:rPr>
        <w:t xml:space="preserve">a) </w:t>
      </w:r>
      <w:r w:rsidR="00E90EBE">
        <w:rPr>
          <w:rFonts w:cstheme="minorHAnsi"/>
        </w:rPr>
        <w:t xml:space="preserve">to </w:t>
      </w:r>
      <w:r>
        <w:rPr>
          <w:rFonts w:cstheme="minorHAnsi"/>
        </w:rPr>
        <w:t>examine how well the project delivered</w:t>
      </w:r>
      <w:r w:rsidR="00E90EBE">
        <w:rPr>
          <w:rFonts w:cstheme="minorHAnsi"/>
        </w:rPr>
        <w:t xml:space="preserve"> the planned</w:t>
      </w:r>
      <w:r>
        <w:rPr>
          <w:rFonts w:cstheme="minorHAnsi"/>
        </w:rPr>
        <w:t xml:space="preserve"> activities and </w:t>
      </w:r>
      <w:r w:rsidR="00A8408B">
        <w:rPr>
          <w:rFonts w:cstheme="minorHAnsi"/>
        </w:rPr>
        <w:t>b)</w:t>
      </w:r>
      <w:r w:rsidR="00E90EBE">
        <w:rPr>
          <w:rFonts w:cstheme="minorHAnsi"/>
        </w:rPr>
        <w:t xml:space="preserve"> to</w:t>
      </w:r>
      <w:r w:rsidR="00A8408B">
        <w:rPr>
          <w:rFonts w:cstheme="minorHAnsi"/>
        </w:rPr>
        <w:t xml:space="preserve"> measure </w:t>
      </w:r>
      <w:r>
        <w:rPr>
          <w:rFonts w:cstheme="minorHAnsi"/>
        </w:rPr>
        <w:t xml:space="preserve">the </w:t>
      </w:r>
      <w:r w:rsidR="00756C4B">
        <w:rPr>
          <w:rFonts w:cstheme="minorHAnsi"/>
        </w:rPr>
        <w:t>change in beneficiary outcomes before and after the program</w:t>
      </w:r>
      <w:r>
        <w:rPr>
          <w:rFonts w:cstheme="minorHAnsi"/>
        </w:rPr>
        <w:t xml:space="preserve">. </w:t>
      </w:r>
      <w:r w:rsidR="00E90EBE">
        <w:rPr>
          <w:rFonts w:cstheme="minorHAnsi"/>
        </w:rPr>
        <w:t>For the first objective, the evaluation will engage the beneficiaries in a participatory process to</w:t>
      </w:r>
      <w:r w:rsidR="00A24349">
        <w:rPr>
          <w:rFonts w:cstheme="minorHAnsi"/>
        </w:rPr>
        <w:t xml:space="preserve"> elicit</w:t>
      </w:r>
      <w:r w:rsidR="00E90EBE">
        <w:rPr>
          <w:rFonts w:cstheme="minorHAnsi"/>
        </w:rPr>
        <w:t xml:space="preserve"> their perception of the quality and usefulness of the services they received. </w:t>
      </w:r>
      <w:r w:rsidR="006E4D3B">
        <w:rPr>
          <w:rFonts w:cstheme="minorHAnsi"/>
        </w:rPr>
        <w:t>In support of the</w:t>
      </w:r>
      <w:r w:rsidR="00E90EBE">
        <w:rPr>
          <w:rFonts w:cstheme="minorHAnsi"/>
        </w:rPr>
        <w:t xml:space="preserve"> second objective, the evaluation will conduct short surveys to capture information on a core set of quantitative indicators relating to the project’s objective of promoting productive work. </w:t>
      </w:r>
      <w:r w:rsidR="00F576E5">
        <w:rPr>
          <w:rFonts w:cstheme="minorHAnsi"/>
        </w:rPr>
        <w:t>Because the evaluation does not include a comparison group, the emphasis will be on developing a descriptive understanding of how well the program worked rather than demonstrating a causal impact of the program on specific outcomes.</w:t>
      </w:r>
    </w:p>
    <w:p w:rsidR="00F83520" w:rsidRDefault="00F83520" w:rsidP="00C54279">
      <w:pPr>
        <w:autoSpaceDE w:val="0"/>
        <w:autoSpaceDN w:val="0"/>
        <w:adjustRightInd w:val="0"/>
        <w:spacing w:after="0"/>
        <w:jc w:val="both"/>
        <w:rPr>
          <w:rFonts w:cstheme="minorHAnsi"/>
        </w:rPr>
      </w:pPr>
    </w:p>
    <w:p w:rsidR="00F83520" w:rsidRDefault="00F83520" w:rsidP="00C54279">
      <w:pPr>
        <w:autoSpaceDE w:val="0"/>
        <w:autoSpaceDN w:val="0"/>
        <w:adjustRightInd w:val="0"/>
        <w:spacing w:after="0"/>
        <w:jc w:val="both"/>
        <w:rPr>
          <w:rFonts w:cstheme="minorHAnsi"/>
        </w:rPr>
      </w:pPr>
      <w:r>
        <w:rPr>
          <w:rFonts w:cstheme="minorHAnsi"/>
        </w:rPr>
        <w:t>According to the</w:t>
      </w:r>
      <w:r w:rsidR="0005664A">
        <w:rPr>
          <w:rFonts w:cstheme="minorHAnsi"/>
        </w:rPr>
        <w:t xml:space="preserve"> revised</w:t>
      </w:r>
      <w:r>
        <w:rPr>
          <w:rFonts w:cstheme="minorHAnsi"/>
        </w:rPr>
        <w:t xml:space="preserve"> project design</w:t>
      </w:r>
      <w:r w:rsidR="0005664A">
        <w:rPr>
          <w:rFonts w:cstheme="minorHAnsi"/>
        </w:rPr>
        <w:t xml:space="preserve"> presented in the project’s Restructuring paper</w:t>
      </w:r>
      <w:r>
        <w:rPr>
          <w:rFonts w:cstheme="minorHAnsi"/>
        </w:rPr>
        <w:t>,</w:t>
      </w:r>
      <w:r w:rsidR="00E90EBE">
        <w:rPr>
          <w:rFonts w:cstheme="minorHAnsi"/>
        </w:rPr>
        <w:t xml:space="preserve"> Component 1 will consist of </w:t>
      </w:r>
      <w:r w:rsidR="0005664A">
        <w:rPr>
          <w:rFonts w:cstheme="minorHAnsi"/>
        </w:rPr>
        <w:t>three</w:t>
      </w:r>
      <w:r w:rsidR="00E90EBE">
        <w:rPr>
          <w:rFonts w:cstheme="minorHAnsi"/>
        </w:rPr>
        <w:t xml:space="preserve"> round</w:t>
      </w:r>
      <w:r w:rsidR="0005664A">
        <w:rPr>
          <w:rFonts w:cstheme="minorHAnsi"/>
        </w:rPr>
        <w:t>s</w:t>
      </w:r>
      <w:r w:rsidR="00E90EBE">
        <w:rPr>
          <w:rFonts w:cstheme="minorHAnsi"/>
        </w:rPr>
        <w:t>, or batches of skills trainings. E</w:t>
      </w:r>
      <w:r>
        <w:rPr>
          <w:rFonts w:cstheme="minorHAnsi"/>
        </w:rPr>
        <w:t xml:space="preserve">ach batch of training will include 675 beneficiaries and will have 3 phases: induction, training, and follow-up. The two week induction phase is meant to orient the beneficiaries to the project and allow them to choose a trade from among the offered courses (e.g., culinary arts, etc.). The </w:t>
      </w:r>
      <w:r w:rsidR="002F1B7C">
        <w:rPr>
          <w:rFonts w:cstheme="minorHAnsi"/>
        </w:rPr>
        <w:t>six</w:t>
      </w:r>
      <w:r>
        <w:rPr>
          <w:rFonts w:cstheme="minorHAnsi"/>
        </w:rPr>
        <w:t xml:space="preserve"> month training phase will include classroom and hands-on vocational training in the beneficiaries’ chosen trades. The </w:t>
      </w:r>
      <w:r w:rsidR="00E2401D">
        <w:rPr>
          <w:rFonts w:cstheme="minorHAnsi"/>
        </w:rPr>
        <w:t>five</w:t>
      </w:r>
      <w:r w:rsidR="002F1B7C">
        <w:rPr>
          <w:rFonts w:cstheme="minorHAnsi"/>
        </w:rPr>
        <w:t xml:space="preserve"> and a half</w:t>
      </w:r>
      <w:r>
        <w:rPr>
          <w:rFonts w:cstheme="minorHAnsi"/>
        </w:rPr>
        <w:t xml:space="preserve">-month follow up phase will focus on transitioning the trainees to productive work, </w:t>
      </w:r>
      <w:r w:rsidR="00E2401D">
        <w:rPr>
          <w:rFonts w:cstheme="minorHAnsi"/>
        </w:rPr>
        <w:t>primarily by facilitating</w:t>
      </w:r>
      <w:r>
        <w:rPr>
          <w:rFonts w:cstheme="minorHAnsi"/>
        </w:rPr>
        <w:t xml:space="preserve"> the start-up of new cooperative </w:t>
      </w:r>
      <w:r w:rsidR="00E2401D">
        <w:rPr>
          <w:rFonts w:cstheme="minorHAnsi"/>
        </w:rPr>
        <w:t>micro</w:t>
      </w:r>
      <w:r>
        <w:rPr>
          <w:rFonts w:cstheme="minorHAnsi"/>
        </w:rPr>
        <w:t xml:space="preserve">enterprises. </w:t>
      </w:r>
    </w:p>
    <w:p w:rsidR="0033363C" w:rsidRDefault="0033363C" w:rsidP="00C54279">
      <w:pPr>
        <w:spacing w:after="0"/>
      </w:pPr>
    </w:p>
    <w:p w:rsidR="00E90EBE" w:rsidRPr="007126B5" w:rsidRDefault="00E90EBE" w:rsidP="00E90EBE">
      <w:pPr>
        <w:spacing w:after="0"/>
        <w:jc w:val="both"/>
        <w:rPr>
          <w:rFonts w:cstheme="minorHAnsi"/>
          <w:sz w:val="20"/>
          <w:szCs w:val="20"/>
        </w:rPr>
      </w:pPr>
      <w:r w:rsidRPr="007126B5">
        <w:rPr>
          <w:rFonts w:cstheme="minorHAnsi"/>
          <w:sz w:val="20"/>
          <w:szCs w:val="20"/>
        </w:rPr>
        <w:t>Figure 1. Timeline of Component 1 of AGI project in Rwanda</w:t>
      </w:r>
    </w:p>
    <w:tbl>
      <w:tblPr>
        <w:tblStyle w:val="TableGrid"/>
        <w:tblW w:w="0" w:type="auto"/>
        <w:tblLook w:val="04A0"/>
      </w:tblPr>
      <w:tblGrid>
        <w:gridCol w:w="1548"/>
        <w:gridCol w:w="1890"/>
        <w:gridCol w:w="1620"/>
        <w:gridCol w:w="1890"/>
      </w:tblGrid>
      <w:tr w:rsidR="0005664A" w:rsidRPr="007126B5" w:rsidTr="00E90EBE">
        <w:trPr>
          <w:trHeight w:val="509"/>
        </w:trPr>
        <w:tc>
          <w:tcPr>
            <w:tcW w:w="1548" w:type="dxa"/>
            <w:vAlign w:val="center"/>
          </w:tcPr>
          <w:p w:rsidR="0005664A" w:rsidRPr="007126B5" w:rsidRDefault="0005664A" w:rsidP="00D04E34">
            <w:pPr>
              <w:rPr>
                <w:rFonts w:cstheme="minorHAnsi"/>
                <w:sz w:val="20"/>
                <w:szCs w:val="20"/>
              </w:rPr>
            </w:pPr>
            <w:r w:rsidRPr="007126B5">
              <w:rPr>
                <w:rFonts w:cstheme="minorHAnsi"/>
                <w:sz w:val="20"/>
                <w:szCs w:val="20"/>
              </w:rPr>
              <w:t>Months 1-</w:t>
            </w:r>
            <w:r w:rsidR="002F1B7C">
              <w:rPr>
                <w:rFonts w:cstheme="minorHAnsi"/>
                <w:sz w:val="20"/>
                <w:szCs w:val="20"/>
              </w:rPr>
              <w:t>6</w:t>
            </w:r>
          </w:p>
        </w:tc>
        <w:tc>
          <w:tcPr>
            <w:tcW w:w="1890" w:type="dxa"/>
            <w:vMerge w:val="restart"/>
            <w:shd w:val="clear" w:color="auto" w:fill="D9D9D9" w:themeFill="background1" w:themeFillShade="D9"/>
            <w:vAlign w:val="center"/>
          </w:tcPr>
          <w:p w:rsidR="0005664A" w:rsidRDefault="0005664A" w:rsidP="00C65CD9">
            <w:pPr>
              <w:jc w:val="center"/>
              <w:rPr>
                <w:rFonts w:cstheme="minorHAnsi"/>
                <w:sz w:val="20"/>
                <w:szCs w:val="20"/>
              </w:rPr>
            </w:pPr>
            <w:r w:rsidRPr="007126B5">
              <w:rPr>
                <w:rFonts w:cstheme="minorHAnsi"/>
                <w:sz w:val="20"/>
                <w:szCs w:val="20"/>
              </w:rPr>
              <w:t>Batch 1</w:t>
            </w:r>
          </w:p>
          <w:p w:rsidR="0005664A" w:rsidRPr="007126B5" w:rsidRDefault="0005664A" w:rsidP="00C65CD9">
            <w:pPr>
              <w:jc w:val="center"/>
              <w:rPr>
                <w:rFonts w:cstheme="minorHAnsi"/>
                <w:sz w:val="20"/>
                <w:szCs w:val="20"/>
              </w:rPr>
            </w:pPr>
            <w:r>
              <w:rPr>
                <w:rFonts w:cstheme="minorHAnsi"/>
                <w:sz w:val="20"/>
                <w:szCs w:val="20"/>
              </w:rPr>
              <w:t>(n=675)</w:t>
            </w:r>
          </w:p>
        </w:tc>
        <w:tc>
          <w:tcPr>
            <w:tcW w:w="1620" w:type="dxa"/>
            <w:vAlign w:val="center"/>
          </w:tcPr>
          <w:p w:rsidR="0005664A" w:rsidRPr="007126B5" w:rsidRDefault="0005664A" w:rsidP="00C65CD9">
            <w:pPr>
              <w:jc w:val="center"/>
              <w:rPr>
                <w:rFonts w:cstheme="minorHAnsi"/>
                <w:sz w:val="20"/>
                <w:szCs w:val="20"/>
              </w:rPr>
            </w:pPr>
          </w:p>
        </w:tc>
        <w:tc>
          <w:tcPr>
            <w:tcW w:w="1890" w:type="dxa"/>
            <w:vAlign w:val="center"/>
          </w:tcPr>
          <w:p w:rsidR="0005664A" w:rsidRPr="007126B5" w:rsidRDefault="0005664A" w:rsidP="00C65CD9">
            <w:pPr>
              <w:jc w:val="center"/>
              <w:rPr>
                <w:rFonts w:cstheme="minorHAnsi"/>
                <w:sz w:val="20"/>
                <w:szCs w:val="20"/>
              </w:rPr>
            </w:pPr>
          </w:p>
        </w:tc>
      </w:tr>
      <w:tr w:rsidR="0005664A" w:rsidRPr="007126B5" w:rsidTr="00E90EBE">
        <w:trPr>
          <w:trHeight w:val="509"/>
        </w:trPr>
        <w:tc>
          <w:tcPr>
            <w:tcW w:w="1548" w:type="dxa"/>
            <w:vAlign w:val="center"/>
          </w:tcPr>
          <w:p w:rsidR="0005664A" w:rsidRPr="007126B5" w:rsidRDefault="0005664A" w:rsidP="002F1B7C">
            <w:pPr>
              <w:rPr>
                <w:rFonts w:cstheme="minorHAnsi"/>
                <w:sz w:val="20"/>
                <w:szCs w:val="20"/>
              </w:rPr>
            </w:pPr>
            <w:r w:rsidRPr="007126B5">
              <w:rPr>
                <w:rFonts w:cstheme="minorHAnsi"/>
                <w:sz w:val="20"/>
                <w:szCs w:val="20"/>
              </w:rPr>
              <w:t xml:space="preserve">Months </w:t>
            </w:r>
            <w:r w:rsidR="002F1B7C">
              <w:rPr>
                <w:rFonts w:cstheme="minorHAnsi"/>
                <w:sz w:val="20"/>
                <w:szCs w:val="20"/>
              </w:rPr>
              <w:t>7-12</w:t>
            </w:r>
          </w:p>
        </w:tc>
        <w:tc>
          <w:tcPr>
            <w:tcW w:w="1890" w:type="dxa"/>
            <w:vMerge/>
            <w:shd w:val="clear" w:color="auto" w:fill="D9D9D9" w:themeFill="background1" w:themeFillShade="D9"/>
            <w:vAlign w:val="center"/>
          </w:tcPr>
          <w:p w:rsidR="0005664A" w:rsidRPr="007126B5" w:rsidRDefault="0005664A" w:rsidP="00C65CD9">
            <w:pPr>
              <w:jc w:val="center"/>
              <w:rPr>
                <w:rFonts w:cstheme="minorHAnsi"/>
                <w:sz w:val="20"/>
                <w:szCs w:val="20"/>
              </w:rPr>
            </w:pPr>
          </w:p>
        </w:tc>
        <w:tc>
          <w:tcPr>
            <w:tcW w:w="1620" w:type="dxa"/>
            <w:vMerge w:val="restart"/>
            <w:shd w:val="clear" w:color="auto" w:fill="D9D9D9" w:themeFill="background1" w:themeFillShade="D9"/>
            <w:vAlign w:val="center"/>
          </w:tcPr>
          <w:p w:rsidR="0005664A" w:rsidRDefault="0005664A" w:rsidP="00C65CD9">
            <w:pPr>
              <w:jc w:val="center"/>
              <w:rPr>
                <w:rFonts w:cstheme="minorHAnsi"/>
                <w:sz w:val="20"/>
                <w:szCs w:val="20"/>
              </w:rPr>
            </w:pPr>
            <w:r w:rsidRPr="007126B5">
              <w:rPr>
                <w:rFonts w:cstheme="minorHAnsi"/>
                <w:sz w:val="20"/>
                <w:szCs w:val="20"/>
              </w:rPr>
              <w:t>Batch 2</w:t>
            </w:r>
          </w:p>
          <w:p w:rsidR="0005664A" w:rsidRPr="007126B5" w:rsidRDefault="0005664A" w:rsidP="00C65CD9">
            <w:pPr>
              <w:jc w:val="center"/>
              <w:rPr>
                <w:rFonts w:cstheme="minorHAnsi"/>
                <w:sz w:val="20"/>
                <w:szCs w:val="20"/>
              </w:rPr>
            </w:pPr>
            <w:r>
              <w:rPr>
                <w:rFonts w:cstheme="minorHAnsi"/>
                <w:sz w:val="20"/>
                <w:szCs w:val="20"/>
              </w:rPr>
              <w:t>(n=675)</w:t>
            </w:r>
          </w:p>
        </w:tc>
        <w:tc>
          <w:tcPr>
            <w:tcW w:w="1890" w:type="dxa"/>
            <w:vAlign w:val="center"/>
          </w:tcPr>
          <w:p w:rsidR="0005664A" w:rsidRPr="007126B5" w:rsidRDefault="0005664A" w:rsidP="00C65CD9">
            <w:pPr>
              <w:jc w:val="center"/>
              <w:rPr>
                <w:rFonts w:cstheme="minorHAnsi"/>
                <w:sz w:val="20"/>
                <w:szCs w:val="20"/>
              </w:rPr>
            </w:pPr>
          </w:p>
        </w:tc>
      </w:tr>
      <w:tr w:rsidR="0005664A" w:rsidRPr="007126B5" w:rsidTr="00E90EBE">
        <w:trPr>
          <w:trHeight w:val="509"/>
        </w:trPr>
        <w:tc>
          <w:tcPr>
            <w:tcW w:w="1548" w:type="dxa"/>
            <w:vAlign w:val="center"/>
          </w:tcPr>
          <w:p w:rsidR="0005664A" w:rsidRPr="007126B5" w:rsidRDefault="0005664A" w:rsidP="002F1B7C">
            <w:pPr>
              <w:rPr>
                <w:rFonts w:cstheme="minorHAnsi"/>
                <w:sz w:val="20"/>
                <w:szCs w:val="20"/>
              </w:rPr>
            </w:pPr>
            <w:r w:rsidRPr="007126B5">
              <w:rPr>
                <w:rFonts w:cstheme="minorHAnsi"/>
                <w:sz w:val="20"/>
                <w:szCs w:val="20"/>
              </w:rPr>
              <w:t xml:space="preserve">Months </w:t>
            </w:r>
            <w:r w:rsidR="002F1B7C">
              <w:rPr>
                <w:rFonts w:cstheme="minorHAnsi"/>
                <w:sz w:val="20"/>
                <w:szCs w:val="20"/>
              </w:rPr>
              <w:t>12-18</w:t>
            </w:r>
          </w:p>
        </w:tc>
        <w:tc>
          <w:tcPr>
            <w:tcW w:w="1890" w:type="dxa"/>
            <w:vAlign w:val="center"/>
          </w:tcPr>
          <w:p w:rsidR="0005664A" w:rsidRPr="007126B5" w:rsidRDefault="0005664A" w:rsidP="00C65CD9">
            <w:pPr>
              <w:jc w:val="center"/>
              <w:rPr>
                <w:rFonts w:cstheme="minorHAnsi"/>
                <w:sz w:val="20"/>
                <w:szCs w:val="20"/>
              </w:rPr>
            </w:pPr>
          </w:p>
        </w:tc>
        <w:tc>
          <w:tcPr>
            <w:tcW w:w="1620" w:type="dxa"/>
            <w:vMerge/>
            <w:shd w:val="clear" w:color="auto" w:fill="D9D9D9" w:themeFill="background1" w:themeFillShade="D9"/>
            <w:vAlign w:val="center"/>
          </w:tcPr>
          <w:p w:rsidR="0005664A" w:rsidRPr="007126B5" w:rsidRDefault="0005664A" w:rsidP="00C65CD9">
            <w:pPr>
              <w:jc w:val="center"/>
              <w:rPr>
                <w:rFonts w:cstheme="minorHAnsi"/>
                <w:sz w:val="20"/>
                <w:szCs w:val="20"/>
              </w:rPr>
            </w:pPr>
          </w:p>
        </w:tc>
        <w:tc>
          <w:tcPr>
            <w:tcW w:w="1890" w:type="dxa"/>
            <w:vMerge w:val="restart"/>
            <w:shd w:val="clear" w:color="auto" w:fill="D9D9D9" w:themeFill="background1" w:themeFillShade="D9"/>
            <w:vAlign w:val="center"/>
          </w:tcPr>
          <w:p w:rsidR="0005664A" w:rsidRDefault="0005664A" w:rsidP="00C65CD9">
            <w:pPr>
              <w:jc w:val="center"/>
              <w:rPr>
                <w:rFonts w:cstheme="minorHAnsi"/>
                <w:sz w:val="20"/>
                <w:szCs w:val="20"/>
              </w:rPr>
            </w:pPr>
            <w:r w:rsidRPr="007126B5">
              <w:rPr>
                <w:rFonts w:cstheme="minorHAnsi"/>
                <w:sz w:val="20"/>
                <w:szCs w:val="20"/>
              </w:rPr>
              <w:t>Batch 3</w:t>
            </w:r>
          </w:p>
          <w:p w:rsidR="0005664A" w:rsidRPr="007126B5" w:rsidRDefault="0005664A" w:rsidP="00C65CD9">
            <w:pPr>
              <w:jc w:val="center"/>
              <w:rPr>
                <w:rFonts w:cstheme="minorHAnsi"/>
                <w:sz w:val="20"/>
                <w:szCs w:val="20"/>
              </w:rPr>
            </w:pPr>
            <w:r>
              <w:rPr>
                <w:rFonts w:cstheme="minorHAnsi"/>
                <w:sz w:val="20"/>
                <w:szCs w:val="20"/>
              </w:rPr>
              <w:t>(n=675)</w:t>
            </w:r>
          </w:p>
        </w:tc>
      </w:tr>
      <w:tr w:rsidR="0005664A" w:rsidRPr="007126B5" w:rsidTr="00E90EBE">
        <w:trPr>
          <w:trHeight w:val="509"/>
        </w:trPr>
        <w:tc>
          <w:tcPr>
            <w:tcW w:w="1548" w:type="dxa"/>
            <w:vAlign w:val="center"/>
          </w:tcPr>
          <w:p w:rsidR="0005664A" w:rsidRPr="007126B5" w:rsidRDefault="0005664A" w:rsidP="002F1B7C">
            <w:pPr>
              <w:rPr>
                <w:rFonts w:cstheme="minorHAnsi"/>
                <w:sz w:val="20"/>
                <w:szCs w:val="20"/>
              </w:rPr>
            </w:pPr>
            <w:r w:rsidRPr="007126B5">
              <w:rPr>
                <w:rFonts w:cstheme="minorHAnsi"/>
                <w:sz w:val="20"/>
                <w:szCs w:val="20"/>
              </w:rPr>
              <w:t xml:space="preserve">Months </w:t>
            </w:r>
            <w:r w:rsidR="002F1B7C">
              <w:rPr>
                <w:rFonts w:cstheme="minorHAnsi"/>
                <w:sz w:val="20"/>
                <w:szCs w:val="20"/>
              </w:rPr>
              <w:t>19-24</w:t>
            </w:r>
          </w:p>
        </w:tc>
        <w:tc>
          <w:tcPr>
            <w:tcW w:w="1890" w:type="dxa"/>
            <w:vAlign w:val="center"/>
          </w:tcPr>
          <w:p w:rsidR="0005664A" w:rsidRPr="007126B5" w:rsidRDefault="0005664A" w:rsidP="00C65CD9">
            <w:pPr>
              <w:jc w:val="center"/>
              <w:rPr>
                <w:rFonts w:cstheme="minorHAnsi"/>
                <w:sz w:val="20"/>
                <w:szCs w:val="20"/>
              </w:rPr>
            </w:pPr>
          </w:p>
        </w:tc>
        <w:tc>
          <w:tcPr>
            <w:tcW w:w="1620" w:type="dxa"/>
            <w:vAlign w:val="center"/>
          </w:tcPr>
          <w:p w:rsidR="0005664A" w:rsidRPr="007126B5" w:rsidRDefault="0005664A" w:rsidP="00C65CD9">
            <w:pPr>
              <w:jc w:val="center"/>
              <w:rPr>
                <w:rFonts w:cstheme="minorHAnsi"/>
                <w:sz w:val="20"/>
                <w:szCs w:val="20"/>
              </w:rPr>
            </w:pPr>
          </w:p>
        </w:tc>
        <w:tc>
          <w:tcPr>
            <w:tcW w:w="1890" w:type="dxa"/>
            <w:vMerge/>
            <w:shd w:val="clear" w:color="auto" w:fill="D9D9D9" w:themeFill="background1" w:themeFillShade="D9"/>
            <w:vAlign w:val="center"/>
          </w:tcPr>
          <w:p w:rsidR="0005664A" w:rsidRPr="007126B5" w:rsidRDefault="0005664A" w:rsidP="00C65CD9">
            <w:pPr>
              <w:jc w:val="center"/>
              <w:rPr>
                <w:rFonts w:cstheme="minorHAnsi"/>
                <w:sz w:val="20"/>
                <w:szCs w:val="20"/>
              </w:rPr>
            </w:pPr>
          </w:p>
        </w:tc>
      </w:tr>
    </w:tbl>
    <w:p w:rsidR="00E90EBE" w:rsidRDefault="00E90EBE" w:rsidP="00E90EBE">
      <w:pPr>
        <w:spacing w:after="0"/>
        <w:jc w:val="both"/>
        <w:rPr>
          <w:rFonts w:cstheme="minorHAnsi"/>
        </w:rPr>
      </w:pPr>
    </w:p>
    <w:p w:rsidR="00C54279" w:rsidRDefault="00E90EBE" w:rsidP="006D07AB">
      <w:pPr>
        <w:spacing w:after="0"/>
        <w:jc w:val="both"/>
        <w:rPr>
          <w:rFonts w:cstheme="minorHAnsi"/>
        </w:rPr>
      </w:pPr>
      <w:r>
        <w:rPr>
          <w:rFonts w:cstheme="minorHAnsi"/>
        </w:rPr>
        <w:t>The evaluation will focus on the second batch of beneficiaries under Component 1 (Vocational Training) of the project</w:t>
      </w:r>
      <w:r>
        <w:rPr>
          <w:rStyle w:val="FootnoteReference"/>
          <w:rFonts w:cstheme="minorHAnsi"/>
        </w:rPr>
        <w:footnoteReference w:id="2"/>
      </w:r>
      <w:r>
        <w:rPr>
          <w:rFonts w:cstheme="minorHAnsi"/>
        </w:rPr>
        <w:t xml:space="preserve">. By focusing on </w:t>
      </w:r>
      <w:r w:rsidR="00756C4B">
        <w:rPr>
          <w:rFonts w:cstheme="minorHAnsi"/>
        </w:rPr>
        <w:t xml:space="preserve">the </w:t>
      </w:r>
      <w:r>
        <w:rPr>
          <w:rFonts w:cstheme="minorHAnsi"/>
        </w:rPr>
        <w:t xml:space="preserve">second of three batches of training, the evaluation will examine what might be considered a “typical” batch, after the project has had time to find its footing and incorporate the early lessons from the first batch. At the same time, focusing on the second batch will allow enough time for processing and analyzing the data so as to deliver results when the project ends. The batches are not expected to differ in content or eligibility criteria, so the results from the second batch might reasonably be expected to broadly representative of the project as a whole, aside from any </w:t>
      </w:r>
      <w:r w:rsidR="0005664A">
        <w:rPr>
          <w:rFonts w:cstheme="minorHAnsi"/>
        </w:rPr>
        <w:t>i</w:t>
      </w:r>
      <w:r>
        <w:rPr>
          <w:rFonts w:cstheme="minorHAnsi"/>
        </w:rPr>
        <w:t>mprovements through learning-by-doing and any differences in the characteristics of the beneficiaries.</w:t>
      </w:r>
    </w:p>
    <w:p w:rsidR="0005664A" w:rsidRDefault="0005664A" w:rsidP="006D07AB">
      <w:pPr>
        <w:spacing w:after="0"/>
        <w:jc w:val="both"/>
        <w:rPr>
          <w:rFonts w:cstheme="minorHAnsi"/>
        </w:rPr>
      </w:pPr>
    </w:p>
    <w:p w:rsidR="003F3203" w:rsidRPr="003F3203" w:rsidRDefault="003F3203" w:rsidP="006D07AB">
      <w:pPr>
        <w:spacing w:after="0"/>
        <w:jc w:val="both"/>
        <w:rPr>
          <w:rFonts w:cstheme="minorHAnsi"/>
          <w:b/>
        </w:rPr>
      </w:pPr>
      <w:r w:rsidRPr="003F3203">
        <w:rPr>
          <w:rFonts w:cstheme="minorHAnsi"/>
          <w:b/>
        </w:rPr>
        <w:t>Data Collection</w:t>
      </w:r>
    </w:p>
    <w:p w:rsidR="00B21596" w:rsidRDefault="00B21596" w:rsidP="006D07AB">
      <w:pPr>
        <w:spacing w:after="0"/>
        <w:jc w:val="both"/>
      </w:pPr>
      <w:r>
        <w:t xml:space="preserve">The evaluation will synthesize </w:t>
      </w:r>
      <w:r w:rsidR="00F576E5">
        <w:t>various sources of data</w:t>
      </w:r>
      <w:r>
        <w:t>, which will be collected in the following planned activities:</w:t>
      </w:r>
    </w:p>
    <w:p w:rsidR="00B704FC" w:rsidRDefault="00B21596" w:rsidP="006D07AB">
      <w:pPr>
        <w:pStyle w:val="ListParagraph"/>
        <w:numPr>
          <w:ilvl w:val="0"/>
          <w:numId w:val="1"/>
        </w:numPr>
        <w:spacing w:after="0"/>
        <w:jc w:val="both"/>
      </w:pPr>
      <w:r>
        <w:t xml:space="preserve">Baseline survey </w:t>
      </w:r>
      <w:r w:rsidR="00A31E3C">
        <w:t>prior to Batch 2 induction phase (Month 0)</w:t>
      </w:r>
      <w:r>
        <w:t>: a short survey will be administered to approximately 150</w:t>
      </w:r>
      <w:r w:rsidR="00A31E3C">
        <w:t xml:space="preserve"> randomly sampled </w:t>
      </w:r>
      <w:r>
        <w:t xml:space="preserve">beneficiaries </w:t>
      </w:r>
      <w:r w:rsidR="00A31E3C">
        <w:t xml:space="preserve">that have been chosen for the second batch of training. The survey will be conducted </w:t>
      </w:r>
      <w:r>
        <w:t xml:space="preserve">just prior to the two-week induction phase to collect demographic information and key outcomes indicators (listed below). </w:t>
      </w:r>
    </w:p>
    <w:p w:rsidR="00B21596" w:rsidRDefault="00A31E3C" w:rsidP="006D07AB">
      <w:pPr>
        <w:pStyle w:val="ListParagraph"/>
        <w:numPr>
          <w:ilvl w:val="0"/>
          <w:numId w:val="1"/>
        </w:numPr>
        <w:spacing w:after="0"/>
        <w:jc w:val="both"/>
      </w:pPr>
      <w:r>
        <w:t xml:space="preserve">Focus group discussions in the last month of classroom training (Month </w:t>
      </w:r>
      <w:r w:rsidR="002F1B7C">
        <w:t>6</w:t>
      </w:r>
      <w:r>
        <w:t>) to elicit feedback on the quality and usefulness of the classroom training.</w:t>
      </w:r>
      <w:r w:rsidR="00F379A4">
        <w:t xml:space="preserve"> At least</w:t>
      </w:r>
      <w:r>
        <w:t xml:space="preserve"> one focus group will be held in each of the four project districts, and the focus groups will contain a mix of students from </w:t>
      </w:r>
      <w:r>
        <w:lastRenderedPageBreak/>
        <w:t xml:space="preserve">various trades/ classrooms. Participants who have dropped out of the program will be actively recruited for a separate focus group. </w:t>
      </w:r>
    </w:p>
    <w:p w:rsidR="00A31E3C" w:rsidRDefault="00A31E3C" w:rsidP="006D07AB">
      <w:pPr>
        <w:pStyle w:val="ListParagraph"/>
        <w:numPr>
          <w:ilvl w:val="0"/>
          <w:numId w:val="1"/>
        </w:numPr>
        <w:spacing w:after="0"/>
        <w:jc w:val="both"/>
      </w:pPr>
      <w:r>
        <w:t>Focus group discussions in the last month of follow up (Month 1</w:t>
      </w:r>
      <w:r w:rsidR="002F1B7C">
        <w:t>1</w:t>
      </w:r>
      <w:r>
        <w:t xml:space="preserve">) to gain insight into the perceptions of participants on the challenges and successes they have faced in transitioning to work as well as the quality of the support services they are receiving from the project. </w:t>
      </w:r>
      <w:r w:rsidR="00D60BD6">
        <w:t>The discussions will also examine some qualitative dimensions of social and economic empowerment</w:t>
      </w:r>
      <w:r w:rsidR="008867EF">
        <w:t>, including aspirations</w:t>
      </w:r>
      <w:r w:rsidR="00D60BD6">
        <w:t xml:space="preserve">. </w:t>
      </w:r>
      <w:r w:rsidR="00F576E5">
        <w:t>A</w:t>
      </w:r>
      <w:r w:rsidR="00F379A4">
        <w:t>t least</w:t>
      </w:r>
      <w:r w:rsidR="00F576E5">
        <w:t xml:space="preserve"> one focus group will be held in each of the four project districts, with a mix of students from various trades/classrooms. </w:t>
      </w:r>
      <w:r w:rsidR="00CB174A">
        <w:t xml:space="preserve">If possible, the research team may also conduct focus group discussions with parents, spouses, and other family members of program participants to elicit their feedback on the program and how it has impacted households. </w:t>
      </w:r>
    </w:p>
    <w:p w:rsidR="00A31E3C" w:rsidRDefault="00A31E3C" w:rsidP="006D07AB">
      <w:pPr>
        <w:pStyle w:val="ListParagraph"/>
        <w:numPr>
          <w:ilvl w:val="0"/>
          <w:numId w:val="1"/>
        </w:numPr>
        <w:spacing w:after="0"/>
        <w:jc w:val="both"/>
      </w:pPr>
      <w:r>
        <w:t>Quantitative follow-up survey in the last month of follow up (Month 1</w:t>
      </w:r>
      <w:r w:rsidR="002F1B7C">
        <w:t>1</w:t>
      </w:r>
      <w:r>
        <w:t xml:space="preserve">): </w:t>
      </w:r>
      <w:r w:rsidR="00F576E5">
        <w:t>a short follow-up survey will be administered to the same 150 beneficiaries that responded to the baseline survey.</w:t>
      </w:r>
      <w:r w:rsidR="00B704FC">
        <w:t xml:space="preserve"> The survey will also include questions based on the findings of the focus group discussions.</w:t>
      </w:r>
      <w:r w:rsidR="00F576E5">
        <w:t xml:space="preserve"> Special efforts will be made to follow up with individuals who did not complete the program.  The survey will be short (30 minutes </w:t>
      </w:r>
      <w:r w:rsidR="008D25FE">
        <w:t>or less</w:t>
      </w:r>
      <w:r w:rsidR="00F576E5">
        <w:t>) and will focus on the key outcome indicators listed below</w:t>
      </w:r>
      <w:r w:rsidR="00615398">
        <w:t>, in addition to basic demographic information</w:t>
      </w:r>
      <w:r w:rsidR="00F576E5">
        <w:t>.</w:t>
      </w:r>
    </w:p>
    <w:p w:rsidR="00F576E5" w:rsidRDefault="00B704FC" w:rsidP="006D07AB">
      <w:pPr>
        <w:spacing w:after="0"/>
        <w:jc w:val="both"/>
      </w:pPr>
      <w:r>
        <w:t xml:space="preserve">In addition to these activities, the evaluation team will also review training materials used, attendance registers, monitoring and progress reports, and conduct </w:t>
      </w:r>
      <w:r w:rsidR="00675AF6">
        <w:t>classroom vis</w:t>
      </w:r>
      <w:r w:rsidR="00516ACC">
        <w:t>i</w:t>
      </w:r>
      <w:r w:rsidR="00675AF6">
        <w:t xml:space="preserve">ts and </w:t>
      </w:r>
      <w:r>
        <w:t xml:space="preserve">interviews with administrators and trainers to gain an overall understanding of the program as it was delivered. </w:t>
      </w:r>
    </w:p>
    <w:p w:rsidR="00B704FC" w:rsidRDefault="00B704FC" w:rsidP="006D07AB">
      <w:pPr>
        <w:spacing w:after="0"/>
        <w:jc w:val="both"/>
      </w:pPr>
    </w:p>
    <w:p w:rsidR="00F576E5" w:rsidRDefault="00756C4B" w:rsidP="006D07AB">
      <w:pPr>
        <w:spacing w:after="0"/>
        <w:jc w:val="both"/>
      </w:pPr>
      <w:r>
        <w:t>Th</w:t>
      </w:r>
      <w:r w:rsidR="00F576E5">
        <w:t>e</w:t>
      </w:r>
      <w:r>
        <w:t xml:space="preserve"> following list of ke</w:t>
      </w:r>
      <w:r w:rsidR="00F576E5">
        <w:t>y outcome indicators</w:t>
      </w:r>
      <w:r w:rsidR="00B704FC">
        <w:t xml:space="preserve"> for </w:t>
      </w:r>
      <w:r>
        <w:t xml:space="preserve">the </w:t>
      </w:r>
      <w:r w:rsidR="00B704FC">
        <w:t>quantitative surveys (baseline and follow-up)</w:t>
      </w:r>
      <w:r>
        <w:t xml:space="preserve"> are based on a subset of outcomes </w:t>
      </w:r>
      <w:r w:rsidR="00F379A4">
        <w:t xml:space="preserve">used in other AGI impact evaluations. The wording of questions will endeavor to maximize comparability to the indicators used in the other AGI impact evaluations. </w:t>
      </w:r>
    </w:p>
    <w:p w:rsidR="00F576E5" w:rsidRDefault="00F576E5" w:rsidP="006D07AB">
      <w:pPr>
        <w:pStyle w:val="ListParagraph"/>
        <w:numPr>
          <w:ilvl w:val="0"/>
          <w:numId w:val="2"/>
        </w:numPr>
        <w:spacing w:after="0"/>
        <w:jc w:val="both"/>
      </w:pPr>
      <w:r w:rsidRPr="00F576E5">
        <w:rPr>
          <w:b/>
          <w:i/>
        </w:rPr>
        <w:t>Employment</w:t>
      </w:r>
      <w:r>
        <w:t>: Does the respondent engage in any activities to earn money? What is the nature of that work (self or wage employment, nature of the enterprise, location of the work)? How many such activities does she have? How much time does she devote to employment?</w:t>
      </w:r>
    </w:p>
    <w:p w:rsidR="00F576E5" w:rsidRDefault="00F576E5" w:rsidP="006D07AB">
      <w:pPr>
        <w:pStyle w:val="ListParagraph"/>
        <w:numPr>
          <w:ilvl w:val="0"/>
          <w:numId w:val="2"/>
        </w:numPr>
        <w:spacing w:after="0"/>
        <w:jc w:val="both"/>
      </w:pPr>
      <w:r w:rsidRPr="00F576E5">
        <w:rPr>
          <w:b/>
          <w:i/>
        </w:rPr>
        <w:t>Earnings</w:t>
      </w:r>
      <w:r>
        <w:t>: Does the respondent earn any money or in-kind payments? What are her individual earnings from the various income generating activities? How stable are these earnings? With whom does she share her earnings?  Does she have any sources of non-earned income?</w:t>
      </w:r>
    </w:p>
    <w:p w:rsidR="00F576E5" w:rsidRDefault="00F576E5" w:rsidP="006D07AB">
      <w:pPr>
        <w:pStyle w:val="ListParagraph"/>
        <w:numPr>
          <w:ilvl w:val="0"/>
          <w:numId w:val="2"/>
        </w:numPr>
        <w:spacing w:after="0"/>
        <w:jc w:val="both"/>
      </w:pPr>
      <w:r w:rsidRPr="00F576E5">
        <w:rPr>
          <w:b/>
          <w:i/>
        </w:rPr>
        <w:t>Economic assets</w:t>
      </w:r>
      <w:r>
        <w:t>: Savings, Debt</w:t>
      </w:r>
      <w:r w:rsidR="00D60BD6">
        <w:t>, Access to credit</w:t>
      </w:r>
      <w:r>
        <w:t>, Physical assets (e.g., furniture, mobile phone), Productive assets (e.g., sewing machine)</w:t>
      </w:r>
    </w:p>
    <w:p w:rsidR="00F576E5" w:rsidRDefault="00F576E5" w:rsidP="006D07AB">
      <w:pPr>
        <w:pStyle w:val="ListParagraph"/>
        <w:numPr>
          <w:ilvl w:val="0"/>
          <w:numId w:val="2"/>
        </w:numPr>
        <w:spacing w:after="0"/>
        <w:jc w:val="both"/>
      </w:pPr>
      <w:r w:rsidRPr="00F576E5">
        <w:rPr>
          <w:b/>
          <w:i/>
        </w:rPr>
        <w:t>Social assets</w:t>
      </w:r>
      <w:r>
        <w:t>:  Friends, Mentors, Colleagues, Support from partner, Support from family</w:t>
      </w:r>
    </w:p>
    <w:p w:rsidR="00826D32" w:rsidRPr="00826D32" w:rsidRDefault="00826D32" w:rsidP="006D07AB">
      <w:pPr>
        <w:pStyle w:val="ListParagraph"/>
        <w:numPr>
          <w:ilvl w:val="0"/>
          <w:numId w:val="2"/>
        </w:numPr>
        <w:spacing w:after="0"/>
        <w:jc w:val="both"/>
      </w:pPr>
      <w:r w:rsidRPr="00826D32">
        <w:rPr>
          <w:b/>
          <w:i/>
        </w:rPr>
        <w:t>Empowerment</w:t>
      </w:r>
      <w:r>
        <w:t>: Self-confidence, control over household resources, access to money in an emergency</w:t>
      </w:r>
    </w:p>
    <w:p w:rsidR="00F576E5" w:rsidRDefault="00F576E5" w:rsidP="006D07AB">
      <w:pPr>
        <w:pStyle w:val="ListParagraph"/>
        <w:numPr>
          <w:ilvl w:val="0"/>
          <w:numId w:val="2"/>
        </w:numPr>
        <w:spacing w:after="0"/>
        <w:jc w:val="both"/>
      </w:pPr>
      <w:r w:rsidRPr="00F576E5">
        <w:rPr>
          <w:b/>
          <w:i/>
        </w:rPr>
        <w:t>Child well-being</w:t>
      </w:r>
      <w:r>
        <w:t xml:space="preserve"> (if respondent has children): children’s educational enrolment, spending on children’s education and health, reliance on help from others for child-related expenses</w:t>
      </w:r>
    </w:p>
    <w:p w:rsidR="001636A2" w:rsidRDefault="001636A2" w:rsidP="006D07AB">
      <w:pPr>
        <w:spacing w:after="0"/>
        <w:jc w:val="both"/>
      </w:pPr>
    </w:p>
    <w:p w:rsidR="00F37D66" w:rsidRPr="00F37D66" w:rsidRDefault="00F37D66" w:rsidP="006D07AB">
      <w:pPr>
        <w:spacing w:after="0"/>
        <w:jc w:val="both"/>
        <w:rPr>
          <w:b/>
        </w:rPr>
      </w:pPr>
      <w:r w:rsidRPr="00F37D66">
        <w:rPr>
          <w:b/>
        </w:rPr>
        <w:t>Sample Size</w:t>
      </w:r>
    </w:p>
    <w:p w:rsidR="00F37D66" w:rsidRDefault="00F37D66" w:rsidP="00F37D66">
      <w:pPr>
        <w:spacing w:after="0"/>
        <w:jc w:val="both"/>
      </w:pPr>
      <w:r>
        <w:t>The sample size of 150 respondents for the quantitative surveys was based on a computation of the minimum sample needed to detect the employment rate of the full cohort of 650 with 95% confidence. Using data from the Rwanda 2010 DHS survey, in which the employment rate of young women aged 15-</w:t>
      </w:r>
      <w:r>
        <w:lastRenderedPageBreak/>
        <w:t xml:space="preserve">19 was 52%, the sample size was calculated using the following assumptions: 95% confidence, 5% maximum error rate, 650 finite population size. </w:t>
      </w:r>
    </w:p>
    <w:p w:rsidR="00F37D66" w:rsidRDefault="00F37D66" w:rsidP="006D07AB">
      <w:pPr>
        <w:spacing w:after="0"/>
        <w:jc w:val="both"/>
      </w:pPr>
    </w:p>
    <w:p w:rsidR="00F576E5" w:rsidRPr="00B704FC" w:rsidRDefault="00B704FC" w:rsidP="006D07AB">
      <w:pPr>
        <w:spacing w:after="0"/>
        <w:jc w:val="both"/>
        <w:rPr>
          <w:b/>
        </w:rPr>
      </w:pPr>
      <w:r w:rsidRPr="00B704FC">
        <w:rPr>
          <w:b/>
        </w:rPr>
        <w:t>Outputs</w:t>
      </w:r>
    </w:p>
    <w:p w:rsidR="00B704FC" w:rsidRDefault="00B704FC" w:rsidP="006D07AB">
      <w:pPr>
        <w:spacing w:after="0"/>
        <w:jc w:val="both"/>
      </w:pPr>
      <w:r>
        <w:t>A consultant (or team of consultants) will be engaged to conduct the evaluation activities described above, under the guidance of the AGI Impact Evaluation team based in Washington DC. The main output of the evaluation will be a final report that synthesizes the data gathered through all of the activities outlined above. The report will cover the design and implementation details of the evaluation, summarize the project activities, and the findings of the qualitative and quantitative work. The report is expected to be completed by the time the project ends so as to inform the project’s Implementation Completion Report.</w:t>
      </w:r>
    </w:p>
    <w:p w:rsidR="00B704FC" w:rsidRDefault="00B704FC" w:rsidP="006D07AB">
      <w:pPr>
        <w:spacing w:after="0"/>
        <w:jc w:val="both"/>
      </w:pPr>
    </w:p>
    <w:p w:rsidR="00444101" w:rsidRPr="00444101" w:rsidRDefault="00444101" w:rsidP="006D07AB">
      <w:pPr>
        <w:spacing w:after="0"/>
        <w:jc w:val="both"/>
        <w:rPr>
          <w:b/>
        </w:rPr>
      </w:pPr>
      <w:r w:rsidRPr="00444101">
        <w:rPr>
          <w:b/>
        </w:rPr>
        <w:t xml:space="preserve">Budget </w:t>
      </w:r>
    </w:p>
    <w:p w:rsidR="00444101" w:rsidRDefault="00444101" w:rsidP="006D07AB">
      <w:pPr>
        <w:spacing w:after="0"/>
        <w:jc w:val="both"/>
      </w:pPr>
      <w:r>
        <w:t xml:space="preserve">The budget for this evaluation is approximately </w:t>
      </w:r>
      <w:r w:rsidR="009C5FA5">
        <w:t>----</w:t>
      </w:r>
      <w:r>
        <w:t xml:space="preserve"> and will be funded from the AGI impact evaluation trust fund, which is Bank-executed. The number of focus group discussions or respondents for the quantitative surveys may be modified depending on budgetary considerations.  </w:t>
      </w:r>
    </w:p>
    <w:p w:rsidR="005E2C94" w:rsidRDefault="005E2C94" w:rsidP="006D07AB">
      <w:pPr>
        <w:spacing w:after="0"/>
        <w:jc w:val="both"/>
      </w:pPr>
    </w:p>
    <w:p w:rsidR="005E2C94" w:rsidRPr="005E2C94" w:rsidRDefault="005E2C94" w:rsidP="006D07AB">
      <w:pPr>
        <w:spacing w:after="0"/>
        <w:jc w:val="both"/>
        <w:rPr>
          <w:b/>
        </w:rPr>
      </w:pPr>
      <w:r w:rsidRPr="005E2C94">
        <w:rPr>
          <w:b/>
        </w:rPr>
        <w:t>Timeline of Activities</w:t>
      </w:r>
    </w:p>
    <w:tbl>
      <w:tblPr>
        <w:tblW w:w="9470" w:type="dxa"/>
        <w:tblInd w:w="93" w:type="dxa"/>
        <w:tblLayout w:type="fixed"/>
        <w:tblLook w:val="04A0"/>
      </w:tblPr>
      <w:tblGrid>
        <w:gridCol w:w="445"/>
        <w:gridCol w:w="2360"/>
        <w:gridCol w:w="444"/>
        <w:gridCol w:w="444"/>
        <w:gridCol w:w="444"/>
        <w:gridCol w:w="444"/>
        <w:gridCol w:w="445"/>
        <w:gridCol w:w="444"/>
        <w:gridCol w:w="445"/>
        <w:gridCol w:w="444"/>
        <w:gridCol w:w="444"/>
        <w:gridCol w:w="445"/>
        <w:gridCol w:w="444"/>
        <w:gridCol w:w="444"/>
        <w:gridCol w:w="445"/>
        <w:gridCol w:w="444"/>
        <w:gridCol w:w="445"/>
      </w:tblGrid>
      <w:tr w:rsidR="002F1B7C" w:rsidRPr="00CF2B14" w:rsidTr="002F1B7C">
        <w:trPr>
          <w:gridAfter w:val="16"/>
          <w:wAfter w:w="9025" w:type="dxa"/>
          <w:trHeight w:val="322"/>
        </w:trPr>
        <w:tc>
          <w:tcPr>
            <w:tcW w:w="445" w:type="dxa"/>
            <w:tcBorders>
              <w:top w:val="nil"/>
              <w:left w:val="nil"/>
              <w:bottom w:val="single" w:sz="4" w:space="0" w:color="auto"/>
              <w:right w:val="nil"/>
            </w:tcBorders>
          </w:tcPr>
          <w:p w:rsidR="002F1B7C" w:rsidRDefault="002F1B7C" w:rsidP="00CF2B14">
            <w:pPr>
              <w:spacing w:after="0" w:line="240" w:lineRule="auto"/>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rPr>
            </w:pPr>
            <w:r w:rsidRPr="00CF2B14">
              <w:rPr>
                <w:rFonts w:ascii="Calibri" w:eastAsia="Times New Roman" w:hAnsi="Calibri" w:cs="Calibri"/>
                <w:color w:val="000000"/>
              </w:rPr>
              <w:t> </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1</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2</w:t>
            </w:r>
          </w:p>
        </w:tc>
        <w:tc>
          <w:tcPr>
            <w:tcW w:w="444" w:type="dxa"/>
            <w:tcBorders>
              <w:top w:val="single" w:sz="4" w:space="0" w:color="auto"/>
              <w:left w:val="nil"/>
              <w:bottom w:val="single" w:sz="4" w:space="0" w:color="auto"/>
              <w:right w:val="single" w:sz="4" w:space="0" w:color="auto"/>
            </w:tcBorders>
            <w:shd w:val="clear" w:color="auto" w:fill="auto"/>
            <w:noWrap/>
            <w:vAlign w:val="bottom"/>
          </w:tcPr>
          <w:p w:rsidR="002F1B7C" w:rsidRPr="00CF2B14" w:rsidRDefault="002F1B7C" w:rsidP="002F1B7C">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444" w:type="dxa"/>
            <w:tcBorders>
              <w:top w:val="single" w:sz="4" w:space="0" w:color="auto"/>
              <w:left w:val="nil"/>
              <w:bottom w:val="single" w:sz="4" w:space="0" w:color="auto"/>
              <w:right w:val="single" w:sz="4" w:space="0" w:color="auto"/>
            </w:tcBorders>
            <w:shd w:val="clear" w:color="auto" w:fill="auto"/>
            <w:noWrap/>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4</w:t>
            </w:r>
          </w:p>
        </w:tc>
        <w:tc>
          <w:tcPr>
            <w:tcW w:w="445" w:type="dxa"/>
            <w:tcBorders>
              <w:top w:val="single" w:sz="4" w:space="0" w:color="auto"/>
              <w:left w:val="nil"/>
              <w:bottom w:val="single" w:sz="4" w:space="0" w:color="auto"/>
              <w:right w:val="single" w:sz="4" w:space="0" w:color="auto"/>
            </w:tcBorders>
            <w:shd w:val="clear" w:color="auto" w:fill="auto"/>
            <w:noWrap/>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5</w:t>
            </w:r>
          </w:p>
        </w:tc>
        <w:tc>
          <w:tcPr>
            <w:tcW w:w="444" w:type="dxa"/>
            <w:tcBorders>
              <w:top w:val="single" w:sz="4" w:space="0" w:color="auto"/>
              <w:left w:val="nil"/>
              <w:bottom w:val="single" w:sz="4" w:space="0" w:color="auto"/>
              <w:right w:val="single" w:sz="4" w:space="0" w:color="auto"/>
            </w:tcBorders>
            <w:shd w:val="clear" w:color="auto" w:fill="auto"/>
            <w:noWrap/>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6</w:t>
            </w:r>
          </w:p>
        </w:tc>
        <w:tc>
          <w:tcPr>
            <w:tcW w:w="445" w:type="dxa"/>
            <w:tcBorders>
              <w:top w:val="single" w:sz="4" w:space="0" w:color="auto"/>
              <w:left w:val="nil"/>
              <w:bottom w:val="single" w:sz="4" w:space="0" w:color="auto"/>
              <w:right w:val="single" w:sz="4" w:space="0" w:color="auto"/>
            </w:tcBorders>
            <w:shd w:val="clear" w:color="auto" w:fill="auto"/>
            <w:noWrap/>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7</w:t>
            </w:r>
          </w:p>
        </w:tc>
        <w:tc>
          <w:tcPr>
            <w:tcW w:w="444" w:type="dxa"/>
            <w:tcBorders>
              <w:top w:val="single" w:sz="4" w:space="0" w:color="auto"/>
              <w:left w:val="nil"/>
              <w:bottom w:val="single" w:sz="4" w:space="0" w:color="auto"/>
              <w:right w:val="single" w:sz="4" w:space="0" w:color="auto"/>
            </w:tcBorders>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8</w:t>
            </w: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9</w:t>
            </w:r>
          </w:p>
        </w:tc>
        <w:tc>
          <w:tcPr>
            <w:tcW w:w="445" w:type="dxa"/>
            <w:tcBorders>
              <w:top w:val="single" w:sz="4" w:space="0" w:color="auto"/>
              <w:left w:val="nil"/>
              <w:bottom w:val="single" w:sz="4" w:space="0" w:color="auto"/>
              <w:right w:val="single" w:sz="4" w:space="0" w:color="auto"/>
            </w:tcBorders>
            <w:shd w:val="clear" w:color="auto" w:fill="auto"/>
            <w:noWrap/>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10</w:t>
            </w:r>
          </w:p>
        </w:tc>
        <w:tc>
          <w:tcPr>
            <w:tcW w:w="444" w:type="dxa"/>
            <w:tcBorders>
              <w:top w:val="single" w:sz="4" w:space="0" w:color="auto"/>
              <w:left w:val="nil"/>
              <w:bottom w:val="single" w:sz="4" w:space="0" w:color="auto"/>
              <w:right w:val="single" w:sz="4" w:space="0" w:color="auto"/>
            </w:tcBorders>
            <w:shd w:val="clear" w:color="auto" w:fill="auto"/>
            <w:noWrap/>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11</w:t>
            </w:r>
          </w:p>
        </w:tc>
        <w:tc>
          <w:tcPr>
            <w:tcW w:w="444" w:type="dxa"/>
            <w:tcBorders>
              <w:top w:val="single" w:sz="4" w:space="0" w:color="auto"/>
              <w:left w:val="nil"/>
              <w:bottom w:val="single" w:sz="4" w:space="0" w:color="auto"/>
              <w:right w:val="single" w:sz="4" w:space="0" w:color="auto"/>
            </w:tcBorders>
            <w:shd w:val="clear" w:color="auto" w:fill="auto"/>
            <w:noWrap/>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12</w:t>
            </w:r>
          </w:p>
        </w:tc>
        <w:tc>
          <w:tcPr>
            <w:tcW w:w="445" w:type="dxa"/>
            <w:tcBorders>
              <w:top w:val="single" w:sz="4" w:space="0" w:color="auto"/>
              <w:left w:val="nil"/>
              <w:bottom w:val="single" w:sz="4" w:space="0" w:color="auto"/>
              <w:right w:val="single" w:sz="4" w:space="0" w:color="auto"/>
            </w:tcBorders>
            <w:shd w:val="clear" w:color="auto" w:fill="auto"/>
            <w:noWrap/>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13</w:t>
            </w:r>
          </w:p>
        </w:tc>
        <w:tc>
          <w:tcPr>
            <w:tcW w:w="444" w:type="dxa"/>
            <w:tcBorders>
              <w:top w:val="single" w:sz="4" w:space="0" w:color="auto"/>
              <w:left w:val="nil"/>
              <w:bottom w:val="single" w:sz="4" w:space="0" w:color="auto"/>
              <w:right w:val="single" w:sz="4" w:space="0" w:color="auto"/>
            </w:tcBorders>
            <w:shd w:val="clear" w:color="auto" w:fill="auto"/>
            <w:noWrap/>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14</w:t>
            </w:r>
          </w:p>
        </w:tc>
        <w:tc>
          <w:tcPr>
            <w:tcW w:w="445" w:type="dxa"/>
            <w:tcBorders>
              <w:top w:val="single" w:sz="4" w:space="0" w:color="auto"/>
              <w:left w:val="nil"/>
              <w:bottom w:val="single" w:sz="4" w:space="0" w:color="auto"/>
              <w:right w:val="single" w:sz="4" w:space="0" w:color="auto"/>
            </w:tcBorders>
            <w:shd w:val="clear" w:color="auto" w:fill="auto"/>
            <w:noWrap/>
            <w:vAlign w:val="bottom"/>
          </w:tcPr>
          <w:p w:rsidR="002F1B7C" w:rsidRPr="00CF2B14" w:rsidRDefault="002F1B7C" w:rsidP="00E2653F">
            <w:pPr>
              <w:spacing w:after="0" w:line="240" w:lineRule="auto"/>
              <w:jc w:val="center"/>
              <w:rPr>
                <w:rFonts w:ascii="Calibri" w:eastAsia="Times New Roman" w:hAnsi="Calibri" w:cs="Calibri"/>
                <w:color w:val="000000"/>
              </w:rPr>
            </w:pPr>
            <w:r w:rsidRPr="00CF2B14">
              <w:rPr>
                <w:rFonts w:ascii="Calibri" w:eastAsia="Times New Roman" w:hAnsi="Calibri" w:cs="Calibri"/>
                <w:color w:val="000000"/>
              </w:rPr>
              <w:t>15</w:t>
            </w: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sidRPr="00CF2B14">
              <w:rPr>
                <w:rFonts w:ascii="Calibri" w:eastAsia="Times New Roman" w:hAnsi="Calibri" w:cs="Calibri"/>
                <w:color w:val="000000"/>
                <w:sz w:val="20"/>
                <w:szCs w:val="20"/>
              </w:rPr>
              <w:t>Recruitment of applicants</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sidRPr="00CF2B14">
              <w:rPr>
                <w:rFonts w:ascii="Calibri" w:eastAsia="Times New Roman" w:hAnsi="Calibri" w:cs="Calibri"/>
                <w:color w:val="000000"/>
                <w:sz w:val="20"/>
                <w:szCs w:val="20"/>
              </w:rPr>
              <w:t>Procurement of evaluation consultants</w:t>
            </w: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sidRPr="00CF2B14">
              <w:rPr>
                <w:rFonts w:ascii="Calibri" w:eastAsia="Times New Roman" w:hAnsi="Calibri" w:cs="Calibri"/>
                <w:color w:val="000000"/>
                <w:sz w:val="20"/>
                <w:szCs w:val="20"/>
              </w:rPr>
              <w:t>Preparation of survey questionnaires</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sidRPr="00CF2B14">
              <w:rPr>
                <w:rFonts w:ascii="Calibri" w:eastAsia="Times New Roman" w:hAnsi="Calibri" w:cs="Calibri"/>
                <w:color w:val="000000"/>
                <w:sz w:val="20"/>
                <w:szCs w:val="20"/>
              </w:rPr>
              <w:t>Selection of trainees (no lottery required)</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sidRPr="00CF2B14">
              <w:rPr>
                <w:rFonts w:ascii="Calibri" w:eastAsia="Times New Roman" w:hAnsi="Calibri" w:cs="Calibri"/>
                <w:color w:val="000000"/>
                <w:sz w:val="20"/>
                <w:szCs w:val="20"/>
              </w:rPr>
              <w:t>Induction (2 weeks)</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sidRPr="00CF2B14">
              <w:rPr>
                <w:rFonts w:ascii="Calibri" w:eastAsia="Times New Roman" w:hAnsi="Calibri" w:cs="Calibri"/>
                <w:color w:val="000000"/>
                <w:sz w:val="20"/>
                <w:szCs w:val="20"/>
              </w:rPr>
              <w:t>Baseline quanti</w:t>
            </w:r>
            <w:r>
              <w:rPr>
                <w:rFonts w:ascii="Calibri" w:eastAsia="Times New Roman" w:hAnsi="Calibri" w:cs="Calibri"/>
                <w:color w:val="000000"/>
                <w:sz w:val="20"/>
                <w:szCs w:val="20"/>
              </w:rPr>
              <w:t>t</w:t>
            </w:r>
            <w:r w:rsidRPr="00CF2B14">
              <w:rPr>
                <w:rFonts w:ascii="Calibri" w:eastAsia="Times New Roman" w:hAnsi="Calibri" w:cs="Calibri"/>
                <w:color w:val="000000"/>
                <w:sz w:val="20"/>
                <w:szCs w:val="20"/>
              </w:rPr>
              <w:t>ative survey</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Classroom training (6</w:t>
            </w:r>
            <w:r w:rsidRPr="00CF2B14">
              <w:rPr>
                <w:rFonts w:ascii="Calibri" w:eastAsia="Times New Roman" w:hAnsi="Calibri" w:cs="Calibri"/>
                <w:color w:val="000000"/>
                <w:sz w:val="20"/>
                <w:szCs w:val="20"/>
              </w:rPr>
              <w:t xml:space="preserve"> months)</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sidRPr="00CF2B14">
              <w:rPr>
                <w:rFonts w:ascii="Calibri" w:eastAsia="Times New Roman" w:hAnsi="Calibri" w:cs="Calibri"/>
                <w:color w:val="000000"/>
                <w:sz w:val="20"/>
                <w:szCs w:val="20"/>
              </w:rPr>
              <w:t>Focus group discussions</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sidRPr="00CF2B14">
              <w:rPr>
                <w:rFonts w:ascii="Calibri" w:eastAsia="Times New Roman" w:hAnsi="Calibri" w:cs="Calibri"/>
                <w:color w:val="000000"/>
                <w:sz w:val="20"/>
                <w:szCs w:val="20"/>
              </w:rPr>
              <w:t>Follow- Up Phase (5</w:t>
            </w:r>
            <w:r>
              <w:rPr>
                <w:rFonts w:ascii="Calibri" w:eastAsia="Times New Roman" w:hAnsi="Calibri" w:cs="Calibri"/>
                <w:color w:val="000000"/>
                <w:sz w:val="20"/>
                <w:szCs w:val="20"/>
              </w:rPr>
              <w:t>.5</w:t>
            </w:r>
            <w:r w:rsidRPr="00CF2B14">
              <w:rPr>
                <w:rFonts w:ascii="Calibri" w:eastAsia="Times New Roman" w:hAnsi="Calibri" w:cs="Calibri"/>
                <w:color w:val="000000"/>
                <w:sz w:val="20"/>
                <w:szCs w:val="20"/>
              </w:rPr>
              <w:t xml:space="preserve"> months)</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sidRPr="00CF2B14">
              <w:rPr>
                <w:rFonts w:ascii="Calibri" w:eastAsia="Times New Roman" w:hAnsi="Calibri" w:cs="Calibri"/>
                <w:color w:val="000000"/>
                <w:sz w:val="20"/>
                <w:szCs w:val="20"/>
              </w:rPr>
              <w:t>Focus group discussions</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Follow-up quantit</w:t>
            </w:r>
            <w:r w:rsidRPr="00CF2B14">
              <w:rPr>
                <w:rFonts w:ascii="Calibri" w:eastAsia="Times New Roman" w:hAnsi="Calibri" w:cs="Calibri"/>
                <w:color w:val="000000"/>
                <w:sz w:val="20"/>
                <w:szCs w:val="20"/>
              </w:rPr>
              <w:t>ative survey</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r w:rsidR="002F1B7C" w:rsidRPr="00CF2B14" w:rsidTr="002F1B7C">
        <w:trPr>
          <w:trHeight w:val="322"/>
        </w:trPr>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CF2B14">
            <w:pPr>
              <w:spacing w:after="0" w:line="240" w:lineRule="auto"/>
              <w:rPr>
                <w:rFonts w:ascii="Calibri" w:eastAsia="Times New Roman" w:hAnsi="Calibri" w:cs="Calibri"/>
                <w:color w:val="000000"/>
                <w:sz w:val="20"/>
                <w:szCs w:val="20"/>
              </w:rPr>
            </w:pPr>
            <w:r w:rsidRPr="00CF2B14">
              <w:rPr>
                <w:rFonts w:ascii="Calibri" w:eastAsia="Times New Roman" w:hAnsi="Calibri" w:cs="Calibri"/>
                <w:color w:val="000000"/>
                <w:sz w:val="20"/>
                <w:szCs w:val="20"/>
              </w:rPr>
              <w:t>Data analysis and final report</w:t>
            </w: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vAlign w:val="bottom"/>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auto" w:fill="auto"/>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4"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c>
          <w:tcPr>
            <w:tcW w:w="445" w:type="dxa"/>
            <w:tcBorders>
              <w:top w:val="single" w:sz="4" w:space="0" w:color="auto"/>
              <w:left w:val="nil"/>
              <w:bottom w:val="single" w:sz="4" w:space="0" w:color="auto"/>
              <w:right w:val="single" w:sz="4" w:space="0" w:color="auto"/>
            </w:tcBorders>
            <w:shd w:val="clear" w:color="000000" w:fill="D9D9D9"/>
            <w:noWrap/>
            <w:vAlign w:val="bottom"/>
            <w:hideMark/>
          </w:tcPr>
          <w:p w:rsidR="002F1B7C" w:rsidRPr="00CF2B14" w:rsidRDefault="002F1B7C" w:rsidP="002F1B7C">
            <w:pPr>
              <w:spacing w:after="0" w:line="240" w:lineRule="auto"/>
              <w:jc w:val="center"/>
              <w:rPr>
                <w:rFonts w:ascii="Calibri" w:eastAsia="Times New Roman" w:hAnsi="Calibri" w:cs="Calibri"/>
                <w:color w:val="000000"/>
              </w:rPr>
            </w:pPr>
          </w:p>
        </w:tc>
      </w:tr>
    </w:tbl>
    <w:p w:rsidR="005E2C94" w:rsidRDefault="005E2C94" w:rsidP="006D07AB">
      <w:pPr>
        <w:spacing w:after="0"/>
        <w:jc w:val="both"/>
      </w:pPr>
    </w:p>
    <w:p w:rsidR="00EC7641" w:rsidRDefault="00EC7641" w:rsidP="00EC7641">
      <w:pPr>
        <w:spacing w:after="0"/>
        <w:jc w:val="both"/>
      </w:pPr>
    </w:p>
    <w:p w:rsidR="00EC7641" w:rsidRDefault="00EC7641" w:rsidP="006D07AB">
      <w:pPr>
        <w:spacing w:after="0"/>
        <w:jc w:val="both"/>
      </w:pPr>
    </w:p>
    <w:sectPr w:rsidR="00EC7641" w:rsidSect="003B402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667" w:rsidRDefault="00103667" w:rsidP="00D24F71">
      <w:pPr>
        <w:spacing w:after="0" w:line="240" w:lineRule="auto"/>
      </w:pPr>
      <w:r>
        <w:separator/>
      </w:r>
    </w:p>
  </w:endnote>
  <w:endnote w:type="continuationSeparator" w:id="0">
    <w:p w:rsidR="00103667" w:rsidRDefault="00103667" w:rsidP="00D24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667" w:rsidRDefault="00103667" w:rsidP="00D24F71">
      <w:pPr>
        <w:spacing w:after="0" w:line="240" w:lineRule="auto"/>
      </w:pPr>
      <w:r>
        <w:separator/>
      </w:r>
    </w:p>
  </w:footnote>
  <w:footnote w:type="continuationSeparator" w:id="0">
    <w:p w:rsidR="00103667" w:rsidRDefault="00103667" w:rsidP="00D24F71">
      <w:pPr>
        <w:spacing w:after="0" w:line="240" w:lineRule="auto"/>
      </w:pPr>
      <w:r>
        <w:continuationSeparator/>
      </w:r>
    </w:p>
  </w:footnote>
  <w:footnote w:id="1">
    <w:p w:rsidR="00D24F71" w:rsidRDefault="00D24F71">
      <w:pPr>
        <w:pStyle w:val="FootnoteText"/>
      </w:pPr>
      <w:r>
        <w:rPr>
          <w:rStyle w:val="FootnoteReference"/>
        </w:rPr>
        <w:footnoteRef/>
      </w:r>
      <w:r>
        <w:t xml:space="preserve"> These implementation challenges, as well as efforts to address them, are outlined in the project’s Aide Memoire from </w:t>
      </w:r>
      <w:r w:rsidR="00FD08AA">
        <w:t>March</w:t>
      </w:r>
      <w:r>
        <w:t xml:space="preserve"> 2013, which includes an annex on impact evaluation, as well as the project’s Restructuring </w:t>
      </w:r>
      <w:r w:rsidR="00FD08AA">
        <w:t>P</w:t>
      </w:r>
      <w:r>
        <w:t xml:space="preserve">aper from April 2013. </w:t>
      </w:r>
    </w:p>
  </w:footnote>
  <w:footnote w:id="2">
    <w:p w:rsidR="00E90EBE" w:rsidRDefault="00E90EBE" w:rsidP="00E90EBE">
      <w:pPr>
        <w:pStyle w:val="FootnoteText"/>
      </w:pPr>
      <w:r>
        <w:rPr>
          <w:rStyle w:val="FootnoteReference"/>
        </w:rPr>
        <w:footnoteRef/>
      </w:r>
      <w:r>
        <w:t xml:space="preserve"> Component 2 (Scholarships) has a much smaller number of beneficiaries and its evaluation will be conducted by the </w:t>
      </w:r>
      <w:proofErr w:type="spellStart"/>
      <w:r>
        <w:t>Imbuto</w:t>
      </w:r>
      <w:proofErr w:type="spellEnd"/>
      <w:r>
        <w:t xml:space="preserve"> Foundation.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4FFC"/>
    <w:multiLevelType w:val="hybridMultilevel"/>
    <w:tmpl w:val="F7AE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F2B82"/>
    <w:multiLevelType w:val="hybridMultilevel"/>
    <w:tmpl w:val="5C3CBDF4"/>
    <w:lvl w:ilvl="0" w:tplc="6ADC11A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3363C"/>
    <w:rsid w:val="00000AE0"/>
    <w:rsid w:val="00005D88"/>
    <w:rsid w:val="00006763"/>
    <w:rsid w:val="0000732D"/>
    <w:rsid w:val="00010666"/>
    <w:rsid w:val="00010C10"/>
    <w:rsid w:val="00010F7B"/>
    <w:rsid w:val="0001135F"/>
    <w:rsid w:val="00012273"/>
    <w:rsid w:val="000143A8"/>
    <w:rsid w:val="000166EE"/>
    <w:rsid w:val="00016AE1"/>
    <w:rsid w:val="00020F41"/>
    <w:rsid w:val="00023B23"/>
    <w:rsid w:val="000244CB"/>
    <w:rsid w:val="00026044"/>
    <w:rsid w:val="00026A41"/>
    <w:rsid w:val="000278B7"/>
    <w:rsid w:val="00027B37"/>
    <w:rsid w:val="00031AFA"/>
    <w:rsid w:val="000341EF"/>
    <w:rsid w:val="0003464A"/>
    <w:rsid w:val="00034B4B"/>
    <w:rsid w:val="000418E3"/>
    <w:rsid w:val="0004246E"/>
    <w:rsid w:val="00043469"/>
    <w:rsid w:val="00047960"/>
    <w:rsid w:val="0005664A"/>
    <w:rsid w:val="00056C7F"/>
    <w:rsid w:val="00057160"/>
    <w:rsid w:val="000659DE"/>
    <w:rsid w:val="00066B1B"/>
    <w:rsid w:val="00066C1E"/>
    <w:rsid w:val="00070126"/>
    <w:rsid w:val="00071F01"/>
    <w:rsid w:val="00075802"/>
    <w:rsid w:val="00082872"/>
    <w:rsid w:val="00086B63"/>
    <w:rsid w:val="00087975"/>
    <w:rsid w:val="0009014B"/>
    <w:rsid w:val="00090DB3"/>
    <w:rsid w:val="000917EB"/>
    <w:rsid w:val="000967E4"/>
    <w:rsid w:val="00097859"/>
    <w:rsid w:val="000A3003"/>
    <w:rsid w:val="000A4EE7"/>
    <w:rsid w:val="000B59E0"/>
    <w:rsid w:val="000B6420"/>
    <w:rsid w:val="000C4E72"/>
    <w:rsid w:val="000D009C"/>
    <w:rsid w:val="000D5D0A"/>
    <w:rsid w:val="000E2F2F"/>
    <w:rsid w:val="000E3008"/>
    <w:rsid w:val="000F1EE8"/>
    <w:rsid w:val="000F2128"/>
    <w:rsid w:val="000F28F1"/>
    <w:rsid w:val="000F33F1"/>
    <w:rsid w:val="000F3C96"/>
    <w:rsid w:val="000F545C"/>
    <w:rsid w:val="000F5EA9"/>
    <w:rsid w:val="00100581"/>
    <w:rsid w:val="00102373"/>
    <w:rsid w:val="00103667"/>
    <w:rsid w:val="00103835"/>
    <w:rsid w:val="00104C17"/>
    <w:rsid w:val="00110C10"/>
    <w:rsid w:val="00110F83"/>
    <w:rsid w:val="00115CCB"/>
    <w:rsid w:val="001162C9"/>
    <w:rsid w:val="00120DB3"/>
    <w:rsid w:val="00123BAD"/>
    <w:rsid w:val="001250B7"/>
    <w:rsid w:val="0013078A"/>
    <w:rsid w:val="00134F81"/>
    <w:rsid w:val="00137447"/>
    <w:rsid w:val="0013773A"/>
    <w:rsid w:val="0014024A"/>
    <w:rsid w:val="00141B19"/>
    <w:rsid w:val="00145E4C"/>
    <w:rsid w:val="00146FC4"/>
    <w:rsid w:val="00147FB9"/>
    <w:rsid w:val="0015554B"/>
    <w:rsid w:val="00155841"/>
    <w:rsid w:val="00155C6E"/>
    <w:rsid w:val="00160E0B"/>
    <w:rsid w:val="001636A2"/>
    <w:rsid w:val="00170385"/>
    <w:rsid w:val="00170DAC"/>
    <w:rsid w:val="00173D8E"/>
    <w:rsid w:val="001771E7"/>
    <w:rsid w:val="00177F50"/>
    <w:rsid w:val="001848E4"/>
    <w:rsid w:val="00192DB0"/>
    <w:rsid w:val="001A023C"/>
    <w:rsid w:val="001A2833"/>
    <w:rsid w:val="001A526D"/>
    <w:rsid w:val="001A6BDE"/>
    <w:rsid w:val="001B5810"/>
    <w:rsid w:val="001B5BEF"/>
    <w:rsid w:val="001B66AF"/>
    <w:rsid w:val="001B79A3"/>
    <w:rsid w:val="001B7D9D"/>
    <w:rsid w:val="001C0E24"/>
    <w:rsid w:val="001C1FAE"/>
    <w:rsid w:val="001C4A5E"/>
    <w:rsid w:val="001D058F"/>
    <w:rsid w:val="001D2068"/>
    <w:rsid w:val="001D2549"/>
    <w:rsid w:val="001D3D4A"/>
    <w:rsid w:val="001D6B70"/>
    <w:rsid w:val="001D6E26"/>
    <w:rsid w:val="001E4C50"/>
    <w:rsid w:val="001E7AD9"/>
    <w:rsid w:val="001F003A"/>
    <w:rsid w:val="001F413A"/>
    <w:rsid w:val="001F54DC"/>
    <w:rsid w:val="001F70B3"/>
    <w:rsid w:val="002050C1"/>
    <w:rsid w:val="002052E4"/>
    <w:rsid w:val="0020549F"/>
    <w:rsid w:val="00222851"/>
    <w:rsid w:val="00224843"/>
    <w:rsid w:val="00224DB3"/>
    <w:rsid w:val="00225A7E"/>
    <w:rsid w:val="00226E6C"/>
    <w:rsid w:val="00230158"/>
    <w:rsid w:val="002310BD"/>
    <w:rsid w:val="002342CC"/>
    <w:rsid w:val="00234768"/>
    <w:rsid w:val="00236394"/>
    <w:rsid w:val="00237210"/>
    <w:rsid w:val="00247177"/>
    <w:rsid w:val="002541F9"/>
    <w:rsid w:val="00254CAB"/>
    <w:rsid w:val="00254CC4"/>
    <w:rsid w:val="00255C11"/>
    <w:rsid w:val="0025652E"/>
    <w:rsid w:val="00256F42"/>
    <w:rsid w:val="00260212"/>
    <w:rsid w:val="002615E6"/>
    <w:rsid w:val="00264DC6"/>
    <w:rsid w:val="00265CD3"/>
    <w:rsid w:val="00265E24"/>
    <w:rsid w:val="00274535"/>
    <w:rsid w:val="00275E27"/>
    <w:rsid w:val="00276A01"/>
    <w:rsid w:val="00276BAD"/>
    <w:rsid w:val="002827C7"/>
    <w:rsid w:val="00285C6F"/>
    <w:rsid w:val="002877BA"/>
    <w:rsid w:val="002879DA"/>
    <w:rsid w:val="0029060D"/>
    <w:rsid w:val="00292FFF"/>
    <w:rsid w:val="0029394C"/>
    <w:rsid w:val="00293B25"/>
    <w:rsid w:val="00294755"/>
    <w:rsid w:val="00295338"/>
    <w:rsid w:val="002968AB"/>
    <w:rsid w:val="00297296"/>
    <w:rsid w:val="002A0C94"/>
    <w:rsid w:val="002A1E14"/>
    <w:rsid w:val="002A4A79"/>
    <w:rsid w:val="002B5478"/>
    <w:rsid w:val="002B5E9D"/>
    <w:rsid w:val="002B6BA4"/>
    <w:rsid w:val="002C0EBD"/>
    <w:rsid w:val="002C3E27"/>
    <w:rsid w:val="002C4472"/>
    <w:rsid w:val="002D0374"/>
    <w:rsid w:val="002D7341"/>
    <w:rsid w:val="002E1924"/>
    <w:rsid w:val="002E2176"/>
    <w:rsid w:val="002E269C"/>
    <w:rsid w:val="002E43D8"/>
    <w:rsid w:val="002E7A9B"/>
    <w:rsid w:val="002F13E5"/>
    <w:rsid w:val="002F1B7C"/>
    <w:rsid w:val="002F1CA1"/>
    <w:rsid w:val="002F3784"/>
    <w:rsid w:val="002F5BFA"/>
    <w:rsid w:val="00304EF7"/>
    <w:rsid w:val="00304FE4"/>
    <w:rsid w:val="00307817"/>
    <w:rsid w:val="00307AF1"/>
    <w:rsid w:val="0031007F"/>
    <w:rsid w:val="00311C2B"/>
    <w:rsid w:val="003120A8"/>
    <w:rsid w:val="00313213"/>
    <w:rsid w:val="00313547"/>
    <w:rsid w:val="00314D9B"/>
    <w:rsid w:val="00316EA3"/>
    <w:rsid w:val="00320041"/>
    <w:rsid w:val="00320AAC"/>
    <w:rsid w:val="00321D29"/>
    <w:rsid w:val="00324A59"/>
    <w:rsid w:val="00325550"/>
    <w:rsid w:val="00326983"/>
    <w:rsid w:val="003314E4"/>
    <w:rsid w:val="0033363C"/>
    <w:rsid w:val="00334544"/>
    <w:rsid w:val="00341F78"/>
    <w:rsid w:val="00343670"/>
    <w:rsid w:val="00345564"/>
    <w:rsid w:val="003455F7"/>
    <w:rsid w:val="003517AC"/>
    <w:rsid w:val="00352770"/>
    <w:rsid w:val="00352A7A"/>
    <w:rsid w:val="00352EE2"/>
    <w:rsid w:val="00355E13"/>
    <w:rsid w:val="003569B8"/>
    <w:rsid w:val="00356D77"/>
    <w:rsid w:val="0036031B"/>
    <w:rsid w:val="00360C93"/>
    <w:rsid w:val="00361907"/>
    <w:rsid w:val="0036279D"/>
    <w:rsid w:val="0036694D"/>
    <w:rsid w:val="00370653"/>
    <w:rsid w:val="00371152"/>
    <w:rsid w:val="003778C7"/>
    <w:rsid w:val="003849D2"/>
    <w:rsid w:val="003911C4"/>
    <w:rsid w:val="00394C05"/>
    <w:rsid w:val="00397EF1"/>
    <w:rsid w:val="003A4BC3"/>
    <w:rsid w:val="003B0E85"/>
    <w:rsid w:val="003B109F"/>
    <w:rsid w:val="003B143D"/>
    <w:rsid w:val="003B1638"/>
    <w:rsid w:val="003B1CD0"/>
    <w:rsid w:val="003B2F91"/>
    <w:rsid w:val="003B402E"/>
    <w:rsid w:val="003B4644"/>
    <w:rsid w:val="003B7DE2"/>
    <w:rsid w:val="003C0A76"/>
    <w:rsid w:val="003C17D7"/>
    <w:rsid w:val="003C3C86"/>
    <w:rsid w:val="003C4FF0"/>
    <w:rsid w:val="003C5C12"/>
    <w:rsid w:val="003C6AD1"/>
    <w:rsid w:val="003C6FFC"/>
    <w:rsid w:val="003D323F"/>
    <w:rsid w:val="003D684F"/>
    <w:rsid w:val="003D69B6"/>
    <w:rsid w:val="003D6D6E"/>
    <w:rsid w:val="003E115E"/>
    <w:rsid w:val="003E1889"/>
    <w:rsid w:val="003E66D6"/>
    <w:rsid w:val="003F187A"/>
    <w:rsid w:val="003F3203"/>
    <w:rsid w:val="003F4B36"/>
    <w:rsid w:val="003F6D5C"/>
    <w:rsid w:val="00400808"/>
    <w:rsid w:val="004040E5"/>
    <w:rsid w:val="00406B7C"/>
    <w:rsid w:val="00407490"/>
    <w:rsid w:val="00413BB0"/>
    <w:rsid w:val="00414018"/>
    <w:rsid w:val="0041423C"/>
    <w:rsid w:val="004209C5"/>
    <w:rsid w:val="004217C9"/>
    <w:rsid w:val="00422EDA"/>
    <w:rsid w:val="004248D6"/>
    <w:rsid w:val="00432A46"/>
    <w:rsid w:val="00433DB8"/>
    <w:rsid w:val="00433F38"/>
    <w:rsid w:val="004345D8"/>
    <w:rsid w:val="004358C6"/>
    <w:rsid w:val="00440116"/>
    <w:rsid w:val="00440896"/>
    <w:rsid w:val="00440BB1"/>
    <w:rsid w:val="004423E0"/>
    <w:rsid w:val="004424F1"/>
    <w:rsid w:val="004430AE"/>
    <w:rsid w:val="00443406"/>
    <w:rsid w:val="00443DCC"/>
    <w:rsid w:val="00444101"/>
    <w:rsid w:val="0044553F"/>
    <w:rsid w:val="00450566"/>
    <w:rsid w:val="004517D2"/>
    <w:rsid w:val="00455A76"/>
    <w:rsid w:val="00467501"/>
    <w:rsid w:val="00467C10"/>
    <w:rsid w:val="00470EEC"/>
    <w:rsid w:val="00473B5A"/>
    <w:rsid w:val="00477275"/>
    <w:rsid w:val="004811A1"/>
    <w:rsid w:val="00482A17"/>
    <w:rsid w:val="00482A24"/>
    <w:rsid w:val="0048584C"/>
    <w:rsid w:val="00485C7E"/>
    <w:rsid w:val="00485FD8"/>
    <w:rsid w:val="004879DD"/>
    <w:rsid w:val="00491E54"/>
    <w:rsid w:val="004931D5"/>
    <w:rsid w:val="004951A3"/>
    <w:rsid w:val="00495B3F"/>
    <w:rsid w:val="00496B49"/>
    <w:rsid w:val="004972DA"/>
    <w:rsid w:val="004A183E"/>
    <w:rsid w:val="004A64C2"/>
    <w:rsid w:val="004B3FE9"/>
    <w:rsid w:val="004B56E4"/>
    <w:rsid w:val="004B7B44"/>
    <w:rsid w:val="004C08A4"/>
    <w:rsid w:val="004C60FA"/>
    <w:rsid w:val="004D2D15"/>
    <w:rsid w:val="004D3C7B"/>
    <w:rsid w:val="004D3DB3"/>
    <w:rsid w:val="004D5C84"/>
    <w:rsid w:val="004D614B"/>
    <w:rsid w:val="004D7E64"/>
    <w:rsid w:val="004E2446"/>
    <w:rsid w:val="004E40FA"/>
    <w:rsid w:val="004E41B0"/>
    <w:rsid w:val="004E46EC"/>
    <w:rsid w:val="004E4B1A"/>
    <w:rsid w:val="004E5182"/>
    <w:rsid w:val="004E653D"/>
    <w:rsid w:val="004E71BD"/>
    <w:rsid w:val="004F137E"/>
    <w:rsid w:val="004F14FA"/>
    <w:rsid w:val="004F3C14"/>
    <w:rsid w:val="004F4F2D"/>
    <w:rsid w:val="004F7373"/>
    <w:rsid w:val="00503109"/>
    <w:rsid w:val="00504406"/>
    <w:rsid w:val="00504EFF"/>
    <w:rsid w:val="0050503D"/>
    <w:rsid w:val="00506D8A"/>
    <w:rsid w:val="0051016D"/>
    <w:rsid w:val="00512D52"/>
    <w:rsid w:val="005155CE"/>
    <w:rsid w:val="005157D9"/>
    <w:rsid w:val="00516ACC"/>
    <w:rsid w:val="005214C5"/>
    <w:rsid w:val="005220DA"/>
    <w:rsid w:val="005234B0"/>
    <w:rsid w:val="00523F95"/>
    <w:rsid w:val="005241A6"/>
    <w:rsid w:val="0052494C"/>
    <w:rsid w:val="00525E49"/>
    <w:rsid w:val="00527372"/>
    <w:rsid w:val="0053147C"/>
    <w:rsid w:val="0053150B"/>
    <w:rsid w:val="00532B64"/>
    <w:rsid w:val="00533263"/>
    <w:rsid w:val="00533449"/>
    <w:rsid w:val="005372BA"/>
    <w:rsid w:val="00540582"/>
    <w:rsid w:val="00541678"/>
    <w:rsid w:val="005459AB"/>
    <w:rsid w:val="0055075C"/>
    <w:rsid w:val="00552BEA"/>
    <w:rsid w:val="00553623"/>
    <w:rsid w:val="00553674"/>
    <w:rsid w:val="0055678A"/>
    <w:rsid w:val="00557642"/>
    <w:rsid w:val="005601E0"/>
    <w:rsid w:val="005604DD"/>
    <w:rsid w:val="005616E6"/>
    <w:rsid w:val="00562E87"/>
    <w:rsid w:val="0057031B"/>
    <w:rsid w:val="00573530"/>
    <w:rsid w:val="00581AD4"/>
    <w:rsid w:val="00590C2F"/>
    <w:rsid w:val="00590EDF"/>
    <w:rsid w:val="00592D5D"/>
    <w:rsid w:val="005A2F40"/>
    <w:rsid w:val="005A4A82"/>
    <w:rsid w:val="005A5071"/>
    <w:rsid w:val="005A7763"/>
    <w:rsid w:val="005A77E5"/>
    <w:rsid w:val="005C0FC7"/>
    <w:rsid w:val="005C2084"/>
    <w:rsid w:val="005C210F"/>
    <w:rsid w:val="005C5DDA"/>
    <w:rsid w:val="005D22D0"/>
    <w:rsid w:val="005D60AE"/>
    <w:rsid w:val="005D6C34"/>
    <w:rsid w:val="005E1921"/>
    <w:rsid w:val="005E1958"/>
    <w:rsid w:val="005E2A5B"/>
    <w:rsid w:val="005E2C94"/>
    <w:rsid w:val="005E2F22"/>
    <w:rsid w:val="005E30DA"/>
    <w:rsid w:val="005E3A5C"/>
    <w:rsid w:val="005E5DB2"/>
    <w:rsid w:val="005E6518"/>
    <w:rsid w:val="005E70F6"/>
    <w:rsid w:val="005F033A"/>
    <w:rsid w:val="005F11A5"/>
    <w:rsid w:val="005F43BA"/>
    <w:rsid w:val="005F5ACE"/>
    <w:rsid w:val="005F7B35"/>
    <w:rsid w:val="005F7BFA"/>
    <w:rsid w:val="00602497"/>
    <w:rsid w:val="00602E3C"/>
    <w:rsid w:val="006100A0"/>
    <w:rsid w:val="00610899"/>
    <w:rsid w:val="00612E7C"/>
    <w:rsid w:val="00615398"/>
    <w:rsid w:val="0061596B"/>
    <w:rsid w:val="00617848"/>
    <w:rsid w:val="00621F85"/>
    <w:rsid w:val="00622967"/>
    <w:rsid w:val="006239D8"/>
    <w:rsid w:val="00624071"/>
    <w:rsid w:val="00627783"/>
    <w:rsid w:val="00633624"/>
    <w:rsid w:val="00635FF3"/>
    <w:rsid w:val="006374D0"/>
    <w:rsid w:val="00640CF9"/>
    <w:rsid w:val="00646D04"/>
    <w:rsid w:val="006506DF"/>
    <w:rsid w:val="006509E8"/>
    <w:rsid w:val="00651BA0"/>
    <w:rsid w:val="006542BE"/>
    <w:rsid w:val="00666306"/>
    <w:rsid w:val="00666FBA"/>
    <w:rsid w:val="006673CE"/>
    <w:rsid w:val="00673074"/>
    <w:rsid w:val="0067406D"/>
    <w:rsid w:val="0067583E"/>
    <w:rsid w:val="0067585B"/>
    <w:rsid w:val="00675AF6"/>
    <w:rsid w:val="00682C65"/>
    <w:rsid w:val="006851FF"/>
    <w:rsid w:val="006860A2"/>
    <w:rsid w:val="006862E9"/>
    <w:rsid w:val="006874B9"/>
    <w:rsid w:val="00687BCC"/>
    <w:rsid w:val="0069009A"/>
    <w:rsid w:val="006940A1"/>
    <w:rsid w:val="00694F00"/>
    <w:rsid w:val="006957C6"/>
    <w:rsid w:val="006A1293"/>
    <w:rsid w:val="006B0BBE"/>
    <w:rsid w:val="006C1A33"/>
    <w:rsid w:val="006C2BD8"/>
    <w:rsid w:val="006C30BB"/>
    <w:rsid w:val="006C5542"/>
    <w:rsid w:val="006C68CF"/>
    <w:rsid w:val="006C7281"/>
    <w:rsid w:val="006D07AB"/>
    <w:rsid w:val="006D30D3"/>
    <w:rsid w:val="006D338C"/>
    <w:rsid w:val="006D55FB"/>
    <w:rsid w:val="006E4D3B"/>
    <w:rsid w:val="006E6748"/>
    <w:rsid w:val="006F0F76"/>
    <w:rsid w:val="006F3165"/>
    <w:rsid w:val="006F331E"/>
    <w:rsid w:val="006F3332"/>
    <w:rsid w:val="006F5D7D"/>
    <w:rsid w:val="007034D0"/>
    <w:rsid w:val="007035B6"/>
    <w:rsid w:val="00710C34"/>
    <w:rsid w:val="00710D67"/>
    <w:rsid w:val="007178F7"/>
    <w:rsid w:val="00721BCA"/>
    <w:rsid w:val="0072241E"/>
    <w:rsid w:val="00722FEF"/>
    <w:rsid w:val="007277CE"/>
    <w:rsid w:val="00730AD9"/>
    <w:rsid w:val="00730D71"/>
    <w:rsid w:val="00731E77"/>
    <w:rsid w:val="00731F5B"/>
    <w:rsid w:val="00733626"/>
    <w:rsid w:val="00733CD8"/>
    <w:rsid w:val="00735DBF"/>
    <w:rsid w:val="00736FC3"/>
    <w:rsid w:val="00737570"/>
    <w:rsid w:val="00737D76"/>
    <w:rsid w:val="00746327"/>
    <w:rsid w:val="007477DA"/>
    <w:rsid w:val="00747A42"/>
    <w:rsid w:val="00751F2E"/>
    <w:rsid w:val="00754555"/>
    <w:rsid w:val="00756C4B"/>
    <w:rsid w:val="00761C8F"/>
    <w:rsid w:val="00763183"/>
    <w:rsid w:val="007635E8"/>
    <w:rsid w:val="00773037"/>
    <w:rsid w:val="0077379D"/>
    <w:rsid w:val="00777115"/>
    <w:rsid w:val="00781B15"/>
    <w:rsid w:val="0078254E"/>
    <w:rsid w:val="00782DFC"/>
    <w:rsid w:val="00783073"/>
    <w:rsid w:val="00784E7D"/>
    <w:rsid w:val="007859FD"/>
    <w:rsid w:val="00787703"/>
    <w:rsid w:val="00791675"/>
    <w:rsid w:val="00791B90"/>
    <w:rsid w:val="00791DC9"/>
    <w:rsid w:val="0079238D"/>
    <w:rsid w:val="007929CA"/>
    <w:rsid w:val="00794F6B"/>
    <w:rsid w:val="00796272"/>
    <w:rsid w:val="00796FBC"/>
    <w:rsid w:val="0079734D"/>
    <w:rsid w:val="007A11C7"/>
    <w:rsid w:val="007A2F3A"/>
    <w:rsid w:val="007A2FD7"/>
    <w:rsid w:val="007A3221"/>
    <w:rsid w:val="007A7921"/>
    <w:rsid w:val="007B19B5"/>
    <w:rsid w:val="007B3C49"/>
    <w:rsid w:val="007C0018"/>
    <w:rsid w:val="007C1C55"/>
    <w:rsid w:val="007C2463"/>
    <w:rsid w:val="007C3A19"/>
    <w:rsid w:val="007C3AEB"/>
    <w:rsid w:val="007C770F"/>
    <w:rsid w:val="007D1A37"/>
    <w:rsid w:val="007D1A63"/>
    <w:rsid w:val="007D1B32"/>
    <w:rsid w:val="007D51E5"/>
    <w:rsid w:val="007E0D8B"/>
    <w:rsid w:val="007E319C"/>
    <w:rsid w:val="007E322D"/>
    <w:rsid w:val="007E473C"/>
    <w:rsid w:val="007E53A3"/>
    <w:rsid w:val="007E6152"/>
    <w:rsid w:val="007E62FC"/>
    <w:rsid w:val="007E7052"/>
    <w:rsid w:val="007F3471"/>
    <w:rsid w:val="007F5531"/>
    <w:rsid w:val="007F574B"/>
    <w:rsid w:val="007F5DD9"/>
    <w:rsid w:val="007F684A"/>
    <w:rsid w:val="007F74B7"/>
    <w:rsid w:val="00804C7D"/>
    <w:rsid w:val="00804EDD"/>
    <w:rsid w:val="00810086"/>
    <w:rsid w:val="008103E2"/>
    <w:rsid w:val="00812CB6"/>
    <w:rsid w:val="00816983"/>
    <w:rsid w:val="00820037"/>
    <w:rsid w:val="00822DF2"/>
    <w:rsid w:val="00822E18"/>
    <w:rsid w:val="00822F2F"/>
    <w:rsid w:val="008241CD"/>
    <w:rsid w:val="00826053"/>
    <w:rsid w:val="00826414"/>
    <w:rsid w:val="00826D32"/>
    <w:rsid w:val="00827A70"/>
    <w:rsid w:val="008334FE"/>
    <w:rsid w:val="00834A0F"/>
    <w:rsid w:val="00836DA9"/>
    <w:rsid w:val="00840406"/>
    <w:rsid w:val="0084157C"/>
    <w:rsid w:val="0084219A"/>
    <w:rsid w:val="008456C0"/>
    <w:rsid w:val="00846270"/>
    <w:rsid w:val="008513D4"/>
    <w:rsid w:val="008517B6"/>
    <w:rsid w:val="00851D9A"/>
    <w:rsid w:val="008569B9"/>
    <w:rsid w:val="0085705F"/>
    <w:rsid w:val="0086325D"/>
    <w:rsid w:val="008661F2"/>
    <w:rsid w:val="00870AB3"/>
    <w:rsid w:val="00875998"/>
    <w:rsid w:val="00877FE9"/>
    <w:rsid w:val="00881E02"/>
    <w:rsid w:val="00882C83"/>
    <w:rsid w:val="0088647A"/>
    <w:rsid w:val="008867EF"/>
    <w:rsid w:val="008A2742"/>
    <w:rsid w:val="008B23F4"/>
    <w:rsid w:val="008B2513"/>
    <w:rsid w:val="008B4CD2"/>
    <w:rsid w:val="008B5976"/>
    <w:rsid w:val="008B7807"/>
    <w:rsid w:val="008B7B49"/>
    <w:rsid w:val="008C102B"/>
    <w:rsid w:val="008C5EF0"/>
    <w:rsid w:val="008C7035"/>
    <w:rsid w:val="008C7784"/>
    <w:rsid w:val="008C77AE"/>
    <w:rsid w:val="008D007D"/>
    <w:rsid w:val="008D0F39"/>
    <w:rsid w:val="008D1F84"/>
    <w:rsid w:val="008D25FE"/>
    <w:rsid w:val="008D3B06"/>
    <w:rsid w:val="008D788B"/>
    <w:rsid w:val="008E08D7"/>
    <w:rsid w:val="008E256A"/>
    <w:rsid w:val="008E2B7E"/>
    <w:rsid w:val="008E34A1"/>
    <w:rsid w:val="008E3D47"/>
    <w:rsid w:val="008E4586"/>
    <w:rsid w:val="008F002D"/>
    <w:rsid w:val="008F0F17"/>
    <w:rsid w:val="008F3DC5"/>
    <w:rsid w:val="00910045"/>
    <w:rsid w:val="0091459A"/>
    <w:rsid w:val="009215A8"/>
    <w:rsid w:val="00921E38"/>
    <w:rsid w:val="0092276A"/>
    <w:rsid w:val="00924D41"/>
    <w:rsid w:val="009261A5"/>
    <w:rsid w:val="00931F41"/>
    <w:rsid w:val="009338DB"/>
    <w:rsid w:val="00941F0D"/>
    <w:rsid w:val="00946DD3"/>
    <w:rsid w:val="00947C92"/>
    <w:rsid w:val="00947F62"/>
    <w:rsid w:val="0095176B"/>
    <w:rsid w:val="00951A1F"/>
    <w:rsid w:val="0095421A"/>
    <w:rsid w:val="00954EE7"/>
    <w:rsid w:val="009551ED"/>
    <w:rsid w:val="00956A47"/>
    <w:rsid w:val="009605AB"/>
    <w:rsid w:val="00960A14"/>
    <w:rsid w:val="00960FDB"/>
    <w:rsid w:val="0096216B"/>
    <w:rsid w:val="009675AE"/>
    <w:rsid w:val="0096793C"/>
    <w:rsid w:val="00971708"/>
    <w:rsid w:val="009756C4"/>
    <w:rsid w:val="00981DA7"/>
    <w:rsid w:val="0098274E"/>
    <w:rsid w:val="009856BF"/>
    <w:rsid w:val="00987895"/>
    <w:rsid w:val="00994304"/>
    <w:rsid w:val="009A468A"/>
    <w:rsid w:val="009B4E43"/>
    <w:rsid w:val="009B53FF"/>
    <w:rsid w:val="009B7424"/>
    <w:rsid w:val="009B7D4F"/>
    <w:rsid w:val="009C1114"/>
    <w:rsid w:val="009C5119"/>
    <w:rsid w:val="009C5FA5"/>
    <w:rsid w:val="009D2061"/>
    <w:rsid w:val="009D4B63"/>
    <w:rsid w:val="009D4ED4"/>
    <w:rsid w:val="009D62F2"/>
    <w:rsid w:val="009E380C"/>
    <w:rsid w:val="009E758C"/>
    <w:rsid w:val="009E7A07"/>
    <w:rsid w:val="009F0F03"/>
    <w:rsid w:val="009F1539"/>
    <w:rsid w:val="009F563E"/>
    <w:rsid w:val="009F7663"/>
    <w:rsid w:val="009F7B18"/>
    <w:rsid w:val="00A01625"/>
    <w:rsid w:val="00A02781"/>
    <w:rsid w:val="00A057C3"/>
    <w:rsid w:val="00A067AB"/>
    <w:rsid w:val="00A0730A"/>
    <w:rsid w:val="00A102A5"/>
    <w:rsid w:val="00A12EBC"/>
    <w:rsid w:val="00A16DE9"/>
    <w:rsid w:val="00A24349"/>
    <w:rsid w:val="00A248D4"/>
    <w:rsid w:val="00A26442"/>
    <w:rsid w:val="00A27446"/>
    <w:rsid w:val="00A315AD"/>
    <w:rsid w:val="00A31E3C"/>
    <w:rsid w:val="00A37039"/>
    <w:rsid w:val="00A37500"/>
    <w:rsid w:val="00A44A1F"/>
    <w:rsid w:val="00A45518"/>
    <w:rsid w:val="00A477FC"/>
    <w:rsid w:val="00A521C3"/>
    <w:rsid w:val="00A54FA8"/>
    <w:rsid w:val="00A556D9"/>
    <w:rsid w:val="00A56A91"/>
    <w:rsid w:val="00A65001"/>
    <w:rsid w:val="00A70DC1"/>
    <w:rsid w:val="00A72B59"/>
    <w:rsid w:val="00A742EC"/>
    <w:rsid w:val="00A754C2"/>
    <w:rsid w:val="00A8007A"/>
    <w:rsid w:val="00A81363"/>
    <w:rsid w:val="00A8408B"/>
    <w:rsid w:val="00A86247"/>
    <w:rsid w:val="00A86E81"/>
    <w:rsid w:val="00A903D0"/>
    <w:rsid w:val="00A90BF8"/>
    <w:rsid w:val="00A91EEA"/>
    <w:rsid w:val="00A94F69"/>
    <w:rsid w:val="00A95CD1"/>
    <w:rsid w:val="00AA175D"/>
    <w:rsid w:val="00AA64F4"/>
    <w:rsid w:val="00AB1BB6"/>
    <w:rsid w:val="00AB3A45"/>
    <w:rsid w:val="00AB3A61"/>
    <w:rsid w:val="00AB3FC9"/>
    <w:rsid w:val="00AB6024"/>
    <w:rsid w:val="00AB7E63"/>
    <w:rsid w:val="00AC0097"/>
    <w:rsid w:val="00AC0A6B"/>
    <w:rsid w:val="00AC305B"/>
    <w:rsid w:val="00AC3CC4"/>
    <w:rsid w:val="00AC6D0B"/>
    <w:rsid w:val="00AD1353"/>
    <w:rsid w:val="00AD4455"/>
    <w:rsid w:val="00AD487D"/>
    <w:rsid w:val="00AD7620"/>
    <w:rsid w:val="00AE159C"/>
    <w:rsid w:val="00AE263E"/>
    <w:rsid w:val="00AE303E"/>
    <w:rsid w:val="00AE3118"/>
    <w:rsid w:val="00AF1274"/>
    <w:rsid w:val="00AF1391"/>
    <w:rsid w:val="00AF2928"/>
    <w:rsid w:val="00AF45CC"/>
    <w:rsid w:val="00AF5E0A"/>
    <w:rsid w:val="00AF676F"/>
    <w:rsid w:val="00B03732"/>
    <w:rsid w:val="00B04B87"/>
    <w:rsid w:val="00B04FAA"/>
    <w:rsid w:val="00B079AC"/>
    <w:rsid w:val="00B07DDF"/>
    <w:rsid w:val="00B10687"/>
    <w:rsid w:val="00B130D4"/>
    <w:rsid w:val="00B13696"/>
    <w:rsid w:val="00B147BB"/>
    <w:rsid w:val="00B20E89"/>
    <w:rsid w:val="00B21076"/>
    <w:rsid w:val="00B21596"/>
    <w:rsid w:val="00B234D5"/>
    <w:rsid w:val="00B244EE"/>
    <w:rsid w:val="00B27834"/>
    <w:rsid w:val="00B30560"/>
    <w:rsid w:val="00B33BB4"/>
    <w:rsid w:val="00B34F7A"/>
    <w:rsid w:val="00B3781A"/>
    <w:rsid w:val="00B408FC"/>
    <w:rsid w:val="00B4183B"/>
    <w:rsid w:val="00B42854"/>
    <w:rsid w:val="00B46282"/>
    <w:rsid w:val="00B51C1A"/>
    <w:rsid w:val="00B5499A"/>
    <w:rsid w:val="00B62FD3"/>
    <w:rsid w:val="00B66F61"/>
    <w:rsid w:val="00B67101"/>
    <w:rsid w:val="00B67DBF"/>
    <w:rsid w:val="00B67F39"/>
    <w:rsid w:val="00B704FC"/>
    <w:rsid w:val="00B70E79"/>
    <w:rsid w:val="00B70E7A"/>
    <w:rsid w:val="00B718EC"/>
    <w:rsid w:val="00B71FA9"/>
    <w:rsid w:val="00B72788"/>
    <w:rsid w:val="00B74BA4"/>
    <w:rsid w:val="00B77600"/>
    <w:rsid w:val="00B818E1"/>
    <w:rsid w:val="00B83CB3"/>
    <w:rsid w:val="00B865B6"/>
    <w:rsid w:val="00B9542D"/>
    <w:rsid w:val="00BA26DE"/>
    <w:rsid w:val="00BA6F97"/>
    <w:rsid w:val="00BA7A25"/>
    <w:rsid w:val="00BB5ACC"/>
    <w:rsid w:val="00BC1CFD"/>
    <w:rsid w:val="00BC2C68"/>
    <w:rsid w:val="00BC5710"/>
    <w:rsid w:val="00BC5ABA"/>
    <w:rsid w:val="00BD00E7"/>
    <w:rsid w:val="00BD0CC0"/>
    <w:rsid w:val="00BD0D26"/>
    <w:rsid w:val="00BD17F2"/>
    <w:rsid w:val="00BD386E"/>
    <w:rsid w:val="00BD523D"/>
    <w:rsid w:val="00BD655F"/>
    <w:rsid w:val="00BE0AD4"/>
    <w:rsid w:val="00BE27E3"/>
    <w:rsid w:val="00BE4FB9"/>
    <w:rsid w:val="00BE53B9"/>
    <w:rsid w:val="00BF17A5"/>
    <w:rsid w:val="00BF5699"/>
    <w:rsid w:val="00BF601B"/>
    <w:rsid w:val="00BF6A17"/>
    <w:rsid w:val="00C00A12"/>
    <w:rsid w:val="00C01088"/>
    <w:rsid w:val="00C104E4"/>
    <w:rsid w:val="00C1082B"/>
    <w:rsid w:val="00C11595"/>
    <w:rsid w:val="00C12B6A"/>
    <w:rsid w:val="00C14DC8"/>
    <w:rsid w:val="00C14E5A"/>
    <w:rsid w:val="00C16FCF"/>
    <w:rsid w:val="00C17217"/>
    <w:rsid w:val="00C2014B"/>
    <w:rsid w:val="00C214E3"/>
    <w:rsid w:val="00C21EEC"/>
    <w:rsid w:val="00C2252C"/>
    <w:rsid w:val="00C22817"/>
    <w:rsid w:val="00C23B38"/>
    <w:rsid w:val="00C277B9"/>
    <w:rsid w:val="00C31187"/>
    <w:rsid w:val="00C33524"/>
    <w:rsid w:val="00C35D9C"/>
    <w:rsid w:val="00C40919"/>
    <w:rsid w:val="00C428AB"/>
    <w:rsid w:val="00C444D2"/>
    <w:rsid w:val="00C4471B"/>
    <w:rsid w:val="00C44908"/>
    <w:rsid w:val="00C44C8A"/>
    <w:rsid w:val="00C471A5"/>
    <w:rsid w:val="00C5206A"/>
    <w:rsid w:val="00C532DA"/>
    <w:rsid w:val="00C537E8"/>
    <w:rsid w:val="00C5411F"/>
    <w:rsid w:val="00C54279"/>
    <w:rsid w:val="00C54D0F"/>
    <w:rsid w:val="00C57579"/>
    <w:rsid w:val="00C60ADB"/>
    <w:rsid w:val="00C62B69"/>
    <w:rsid w:val="00C673A6"/>
    <w:rsid w:val="00C71D8A"/>
    <w:rsid w:val="00C72034"/>
    <w:rsid w:val="00C73D5D"/>
    <w:rsid w:val="00C76E6A"/>
    <w:rsid w:val="00C8380A"/>
    <w:rsid w:val="00C86030"/>
    <w:rsid w:val="00C8676E"/>
    <w:rsid w:val="00C86F0D"/>
    <w:rsid w:val="00C87A12"/>
    <w:rsid w:val="00C90CA1"/>
    <w:rsid w:val="00C92114"/>
    <w:rsid w:val="00C9561C"/>
    <w:rsid w:val="00CA10E4"/>
    <w:rsid w:val="00CA17C3"/>
    <w:rsid w:val="00CA1974"/>
    <w:rsid w:val="00CA1ADC"/>
    <w:rsid w:val="00CA4305"/>
    <w:rsid w:val="00CA71A4"/>
    <w:rsid w:val="00CA76F6"/>
    <w:rsid w:val="00CB07C8"/>
    <w:rsid w:val="00CB1079"/>
    <w:rsid w:val="00CB174A"/>
    <w:rsid w:val="00CB2FAC"/>
    <w:rsid w:val="00CB46ED"/>
    <w:rsid w:val="00CC0823"/>
    <w:rsid w:val="00CC0CE9"/>
    <w:rsid w:val="00CC30AF"/>
    <w:rsid w:val="00CC404F"/>
    <w:rsid w:val="00CD04FA"/>
    <w:rsid w:val="00CD3D1F"/>
    <w:rsid w:val="00CD6C09"/>
    <w:rsid w:val="00CE0393"/>
    <w:rsid w:val="00CE0A8C"/>
    <w:rsid w:val="00CE1779"/>
    <w:rsid w:val="00CE4831"/>
    <w:rsid w:val="00CE5F14"/>
    <w:rsid w:val="00CE7780"/>
    <w:rsid w:val="00CF2B14"/>
    <w:rsid w:val="00CF2E13"/>
    <w:rsid w:val="00CF3B16"/>
    <w:rsid w:val="00CF4EF2"/>
    <w:rsid w:val="00CF50E5"/>
    <w:rsid w:val="00CF6F39"/>
    <w:rsid w:val="00CF7502"/>
    <w:rsid w:val="00D027BE"/>
    <w:rsid w:val="00D04E34"/>
    <w:rsid w:val="00D0590F"/>
    <w:rsid w:val="00D06841"/>
    <w:rsid w:val="00D0691A"/>
    <w:rsid w:val="00D07148"/>
    <w:rsid w:val="00D121E8"/>
    <w:rsid w:val="00D12B9C"/>
    <w:rsid w:val="00D12FCF"/>
    <w:rsid w:val="00D1569F"/>
    <w:rsid w:val="00D16D3B"/>
    <w:rsid w:val="00D174D1"/>
    <w:rsid w:val="00D17C74"/>
    <w:rsid w:val="00D20B8A"/>
    <w:rsid w:val="00D20CED"/>
    <w:rsid w:val="00D23DEE"/>
    <w:rsid w:val="00D24B2A"/>
    <w:rsid w:val="00D24F71"/>
    <w:rsid w:val="00D26E10"/>
    <w:rsid w:val="00D26FE6"/>
    <w:rsid w:val="00D301E2"/>
    <w:rsid w:val="00D3470D"/>
    <w:rsid w:val="00D34AC2"/>
    <w:rsid w:val="00D34E5C"/>
    <w:rsid w:val="00D3524D"/>
    <w:rsid w:val="00D35D55"/>
    <w:rsid w:val="00D40FA0"/>
    <w:rsid w:val="00D4563F"/>
    <w:rsid w:val="00D45BF8"/>
    <w:rsid w:val="00D468D3"/>
    <w:rsid w:val="00D50104"/>
    <w:rsid w:val="00D50C29"/>
    <w:rsid w:val="00D51C84"/>
    <w:rsid w:val="00D60BD6"/>
    <w:rsid w:val="00D7021D"/>
    <w:rsid w:val="00D70988"/>
    <w:rsid w:val="00D7248B"/>
    <w:rsid w:val="00D734BF"/>
    <w:rsid w:val="00D7400A"/>
    <w:rsid w:val="00D772EF"/>
    <w:rsid w:val="00D851B4"/>
    <w:rsid w:val="00D8554E"/>
    <w:rsid w:val="00D8580F"/>
    <w:rsid w:val="00D9366F"/>
    <w:rsid w:val="00D95237"/>
    <w:rsid w:val="00DA1497"/>
    <w:rsid w:val="00DA1CE9"/>
    <w:rsid w:val="00DA4DA5"/>
    <w:rsid w:val="00DB3AE6"/>
    <w:rsid w:val="00DB470B"/>
    <w:rsid w:val="00DC332E"/>
    <w:rsid w:val="00DC41AA"/>
    <w:rsid w:val="00DC5F10"/>
    <w:rsid w:val="00DC6B52"/>
    <w:rsid w:val="00DD1F7A"/>
    <w:rsid w:val="00DD38C7"/>
    <w:rsid w:val="00DE08E1"/>
    <w:rsid w:val="00DE4DE4"/>
    <w:rsid w:val="00DF5BCF"/>
    <w:rsid w:val="00E02AE5"/>
    <w:rsid w:val="00E03399"/>
    <w:rsid w:val="00E12BF7"/>
    <w:rsid w:val="00E21850"/>
    <w:rsid w:val="00E21E5D"/>
    <w:rsid w:val="00E2401D"/>
    <w:rsid w:val="00E253B3"/>
    <w:rsid w:val="00E3101B"/>
    <w:rsid w:val="00E35847"/>
    <w:rsid w:val="00E36369"/>
    <w:rsid w:val="00E36DF0"/>
    <w:rsid w:val="00E37366"/>
    <w:rsid w:val="00E40021"/>
    <w:rsid w:val="00E4228E"/>
    <w:rsid w:val="00E43884"/>
    <w:rsid w:val="00E4715F"/>
    <w:rsid w:val="00E5188D"/>
    <w:rsid w:val="00E523A5"/>
    <w:rsid w:val="00E5405C"/>
    <w:rsid w:val="00E559D0"/>
    <w:rsid w:val="00E55AEF"/>
    <w:rsid w:val="00E638E8"/>
    <w:rsid w:val="00E66954"/>
    <w:rsid w:val="00E6781A"/>
    <w:rsid w:val="00E728F2"/>
    <w:rsid w:val="00E804EC"/>
    <w:rsid w:val="00E81B55"/>
    <w:rsid w:val="00E83591"/>
    <w:rsid w:val="00E90536"/>
    <w:rsid w:val="00E90EBE"/>
    <w:rsid w:val="00E940DC"/>
    <w:rsid w:val="00E96222"/>
    <w:rsid w:val="00EA0380"/>
    <w:rsid w:val="00EA5C63"/>
    <w:rsid w:val="00EA690D"/>
    <w:rsid w:val="00EA7D8D"/>
    <w:rsid w:val="00EC0FBC"/>
    <w:rsid w:val="00EC127B"/>
    <w:rsid w:val="00EC30FE"/>
    <w:rsid w:val="00EC3119"/>
    <w:rsid w:val="00EC7641"/>
    <w:rsid w:val="00ED05AF"/>
    <w:rsid w:val="00ED433B"/>
    <w:rsid w:val="00EE09F1"/>
    <w:rsid w:val="00EE1313"/>
    <w:rsid w:val="00EF3C7A"/>
    <w:rsid w:val="00EF52C6"/>
    <w:rsid w:val="00EF5371"/>
    <w:rsid w:val="00EF5889"/>
    <w:rsid w:val="00EF6365"/>
    <w:rsid w:val="00EF697F"/>
    <w:rsid w:val="00EF6DC7"/>
    <w:rsid w:val="00F00387"/>
    <w:rsid w:val="00F0145F"/>
    <w:rsid w:val="00F0629C"/>
    <w:rsid w:val="00F06BE9"/>
    <w:rsid w:val="00F070A6"/>
    <w:rsid w:val="00F073DF"/>
    <w:rsid w:val="00F1321B"/>
    <w:rsid w:val="00F22659"/>
    <w:rsid w:val="00F25AE3"/>
    <w:rsid w:val="00F2666C"/>
    <w:rsid w:val="00F27960"/>
    <w:rsid w:val="00F279A9"/>
    <w:rsid w:val="00F333BC"/>
    <w:rsid w:val="00F33BEA"/>
    <w:rsid w:val="00F35F55"/>
    <w:rsid w:val="00F379A4"/>
    <w:rsid w:val="00F37D66"/>
    <w:rsid w:val="00F37E64"/>
    <w:rsid w:val="00F40ED5"/>
    <w:rsid w:val="00F435BF"/>
    <w:rsid w:val="00F457CE"/>
    <w:rsid w:val="00F46ED2"/>
    <w:rsid w:val="00F47623"/>
    <w:rsid w:val="00F539EC"/>
    <w:rsid w:val="00F55B68"/>
    <w:rsid w:val="00F565C3"/>
    <w:rsid w:val="00F576E5"/>
    <w:rsid w:val="00F57E7F"/>
    <w:rsid w:val="00F620C8"/>
    <w:rsid w:val="00F65ABC"/>
    <w:rsid w:val="00F705A0"/>
    <w:rsid w:val="00F71244"/>
    <w:rsid w:val="00F72407"/>
    <w:rsid w:val="00F72B1A"/>
    <w:rsid w:val="00F7463F"/>
    <w:rsid w:val="00F820C2"/>
    <w:rsid w:val="00F82C3F"/>
    <w:rsid w:val="00F8336B"/>
    <w:rsid w:val="00F83520"/>
    <w:rsid w:val="00F85223"/>
    <w:rsid w:val="00F863CE"/>
    <w:rsid w:val="00F91D39"/>
    <w:rsid w:val="00F96FF1"/>
    <w:rsid w:val="00FA090D"/>
    <w:rsid w:val="00FA0B29"/>
    <w:rsid w:val="00FA11A9"/>
    <w:rsid w:val="00FA3E24"/>
    <w:rsid w:val="00FA4D33"/>
    <w:rsid w:val="00FA5B9A"/>
    <w:rsid w:val="00FB2F4C"/>
    <w:rsid w:val="00FB3D0C"/>
    <w:rsid w:val="00FB3D0F"/>
    <w:rsid w:val="00FB6C1E"/>
    <w:rsid w:val="00FB6DD3"/>
    <w:rsid w:val="00FC664E"/>
    <w:rsid w:val="00FC6A55"/>
    <w:rsid w:val="00FC7B13"/>
    <w:rsid w:val="00FD08AA"/>
    <w:rsid w:val="00FD1873"/>
    <w:rsid w:val="00FD68D1"/>
    <w:rsid w:val="00FD73EF"/>
    <w:rsid w:val="00FE1FDF"/>
    <w:rsid w:val="00FE311D"/>
    <w:rsid w:val="00FE4E02"/>
    <w:rsid w:val="00FE6A1D"/>
    <w:rsid w:val="00FF0125"/>
    <w:rsid w:val="00FF036F"/>
    <w:rsid w:val="00FF570A"/>
    <w:rsid w:val="00FF6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0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F71"/>
    <w:rPr>
      <w:sz w:val="20"/>
      <w:szCs w:val="20"/>
    </w:rPr>
  </w:style>
  <w:style w:type="character" w:styleId="FootnoteReference">
    <w:name w:val="footnote reference"/>
    <w:basedOn w:val="DefaultParagraphFont"/>
    <w:uiPriority w:val="99"/>
    <w:semiHidden/>
    <w:unhideWhenUsed/>
    <w:rsid w:val="00D24F71"/>
    <w:rPr>
      <w:vertAlign w:val="superscript"/>
    </w:rPr>
  </w:style>
  <w:style w:type="table" w:styleId="TableGrid">
    <w:name w:val="Table Grid"/>
    <w:basedOn w:val="TableNormal"/>
    <w:uiPriority w:val="59"/>
    <w:rsid w:val="00E9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15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F71"/>
    <w:rPr>
      <w:sz w:val="20"/>
      <w:szCs w:val="20"/>
    </w:rPr>
  </w:style>
  <w:style w:type="character" w:styleId="FootnoteReference">
    <w:name w:val="footnote reference"/>
    <w:basedOn w:val="DefaultParagraphFont"/>
    <w:uiPriority w:val="99"/>
    <w:semiHidden/>
    <w:unhideWhenUsed/>
    <w:rsid w:val="00D24F71"/>
    <w:rPr>
      <w:vertAlign w:val="superscript"/>
    </w:rPr>
  </w:style>
  <w:style w:type="table" w:styleId="TableGrid">
    <w:name w:val="Table Grid"/>
    <w:basedOn w:val="TableNormal"/>
    <w:uiPriority w:val="59"/>
    <w:rsid w:val="00E90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1596"/>
    <w:pPr>
      <w:ind w:left="720"/>
      <w:contextualSpacing/>
    </w:pPr>
  </w:style>
</w:styles>
</file>

<file path=word/webSettings.xml><?xml version="1.0" encoding="utf-8"?>
<w:webSettings xmlns:r="http://schemas.openxmlformats.org/officeDocument/2006/relationships" xmlns:w="http://schemas.openxmlformats.org/wordprocessingml/2006/main">
  <w:divs>
    <w:div w:id="4108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754D-856A-47D7-B067-6D2A9DCB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 Chakravarty</dc:creator>
  <cp:lastModifiedBy>Dina</cp:lastModifiedBy>
  <cp:revision>3</cp:revision>
  <dcterms:created xsi:type="dcterms:W3CDTF">2013-09-05T16:14:00Z</dcterms:created>
  <dcterms:modified xsi:type="dcterms:W3CDTF">2015-01-20T17:58:00Z</dcterms:modified>
</cp:coreProperties>
</file>